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29" w:rsidRDefault="00ED6829">
      <w:pPr>
        <w:rPr>
          <w:rFonts w:cs="Arial"/>
          <w:b/>
          <w:sz w:val="28"/>
          <w:szCs w:val="24"/>
        </w:rPr>
      </w:pPr>
      <w:bookmarkStart w:id="0" w:name="_Hlk519780215"/>
      <w:r>
        <w:rPr>
          <w:rFonts w:cs="Arial"/>
          <w:b/>
          <w:sz w:val="28"/>
          <w:szCs w:val="24"/>
        </w:rPr>
        <w:t>Appendix 11</w:t>
      </w:r>
      <w:bookmarkStart w:id="1" w:name="_GoBack"/>
      <w:bookmarkEnd w:id="1"/>
    </w:p>
    <w:p w:rsidR="00CB39DF" w:rsidRPr="00CA7986" w:rsidRDefault="007E41A5">
      <w:pPr>
        <w:rPr>
          <w:rFonts w:cs="Arial"/>
          <w:b/>
          <w:sz w:val="28"/>
          <w:szCs w:val="24"/>
        </w:rPr>
      </w:pPr>
      <w:r>
        <w:rPr>
          <w:rFonts w:cs="Arial"/>
          <w:b/>
          <w:sz w:val="28"/>
          <w:szCs w:val="24"/>
        </w:rPr>
        <w:t>E</w:t>
      </w:r>
      <w:r w:rsidR="00D50767">
        <w:rPr>
          <w:rFonts w:cs="Arial"/>
          <w:b/>
          <w:sz w:val="28"/>
          <w:szCs w:val="24"/>
        </w:rPr>
        <w:t>nvironment Agency</w:t>
      </w:r>
      <w:r w:rsidR="00D50767" w:rsidRPr="00D50767">
        <w:rPr>
          <w:rFonts w:ascii="Arial" w:hAnsi="Arial" w:cs="Arial"/>
          <w:b/>
        </w:rPr>
        <w:t xml:space="preserve"> </w:t>
      </w:r>
      <w:r w:rsidR="00D50767">
        <w:rPr>
          <w:rFonts w:ascii="Arial" w:hAnsi="Arial" w:cs="Arial"/>
          <w:b/>
        </w:rPr>
        <w:t>Annex to Dwr Cymru Welsh Water Customer Challenge Group Report</w:t>
      </w:r>
      <w:r w:rsidR="00D50767">
        <w:rPr>
          <w:rFonts w:cs="Arial"/>
          <w:b/>
          <w:sz w:val="28"/>
          <w:szCs w:val="24"/>
        </w:rPr>
        <w:t xml:space="preserve"> </w:t>
      </w:r>
    </w:p>
    <w:p w:rsidR="0092450A" w:rsidRPr="009A4694" w:rsidRDefault="00582797" w:rsidP="0092450A">
      <w:pPr>
        <w:rPr>
          <w:rFonts w:eastAsia="Calibri" w:cs="Arial"/>
          <w:sz w:val="24"/>
          <w:szCs w:val="24"/>
        </w:rPr>
      </w:pPr>
      <w:r w:rsidRPr="009A4694">
        <w:rPr>
          <w:rFonts w:cs="Arial"/>
          <w:b/>
          <w:sz w:val="24"/>
          <w:szCs w:val="24"/>
        </w:rPr>
        <w:t>Introduction</w:t>
      </w:r>
      <w:r w:rsidR="00DA4A33">
        <w:rPr>
          <w:rFonts w:cs="Arial"/>
          <w:b/>
          <w:sz w:val="24"/>
          <w:szCs w:val="24"/>
        </w:rPr>
        <w:t xml:space="preserve"> - </w:t>
      </w:r>
      <w:r w:rsidR="001475B6" w:rsidRPr="009A4694">
        <w:rPr>
          <w:rFonts w:eastAsia="Calibri" w:cs="Arial"/>
          <w:sz w:val="24"/>
          <w:szCs w:val="24"/>
        </w:rPr>
        <w:t>The EA is the principle environmental regulator in England and is responsible for ensuring that company business plans reflect the legal obligations and the needs of catchments and communities in England</w:t>
      </w:r>
      <w:r w:rsidR="00AF53E8" w:rsidRPr="009A4694">
        <w:rPr>
          <w:rFonts w:eastAsia="Calibri" w:cs="Arial"/>
          <w:sz w:val="24"/>
          <w:szCs w:val="24"/>
        </w:rPr>
        <w:t xml:space="preserve">. These duties </w:t>
      </w:r>
      <w:r w:rsidR="001475B6" w:rsidRPr="009A4694">
        <w:rPr>
          <w:rFonts w:eastAsia="Calibri" w:cs="Arial"/>
          <w:sz w:val="24"/>
          <w:szCs w:val="24"/>
        </w:rPr>
        <w:t xml:space="preserve">are </w:t>
      </w:r>
      <w:r w:rsidR="00AF53E8" w:rsidRPr="009A4694">
        <w:rPr>
          <w:rFonts w:eastAsia="Calibri" w:cs="Arial"/>
          <w:sz w:val="24"/>
          <w:szCs w:val="24"/>
        </w:rPr>
        <w:t>outlined</w:t>
      </w:r>
      <w:r w:rsidR="001475B6" w:rsidRPr="009A4694">
        <w:rPr>
          <w:rFonts w:eastAsia="Calibri" w:cs="Arial"/>
          <w:sz w:val="24"/>
          <w:szCs w:val="24"/>
        </w:rPr>
        <w:t xml:space="preserve"> in the Water Industry Strategic Environmental Requirements</w:t>
      </w:r>
      <w:r w:rsidR="00553E7C">
        <w:rPr>
          <w:rFonts w:eastAsia="Calibri" w:cs="Arial"/>
          <w:sz w:val="24"/>
          <w:szCs w:val="24"/>
        </w:rPr>
        <w:t xml:space="preserve"> (WISER)</w:t>
      </w:r>
      <w:r w:rsidR="001475B6" w:rsidRPr="009A4694">
        <w:rPr>
          <w:rFonts w:eastAsia="Calibri" w:cs="Arial"/>
          <w:sz w:val="24"/>
          <w:szCs w:val="24"/>
        </w:rPr>
        <w:t>.</w:t>
      </w:r>
      <w:r w:rsidR="007E41A5">
        <w:rPr>
          <w:rFonts w:eastAsia="Calibri" w:cs="Arial"/>
          <w:sz w:val="24"/>
          <w:szCs w:val="24"/>
        </w:rPr>
        <w:t xml:space="preserve"> We work to ensure that the company comply with the requirements in </w:t>
      </w:r>
      <w:r w:rsidR="00D50767">
        <w:rPr>
          <w:rFonts w:eastAsia="Calibri" w:cs="Arial"/>
          <w:sz w:val="24"/>
          <w:szCs w:val="24"/>
        </w:rPr>
        <w:t>for their operations in E</w:t>
      </w:r>
      <w:r w:rsidR="007E41A5">
        <w:rPr>
          <w:rFonts w:eastAsia="Calibri" w:cs="Arial"/>
          <w:sz w:val="24"/>
          <w:szCs w:val="24"/>
        </w:rPr>
        <w:t>ngland</w:t>
      </w:r>
      <w:r w:rsidR="00D50767">
        <w:rPr>
          <w:rFonts w:eastAsia="Calibri" w:cs="Arial"/>
          <w:sz w:val="24"/>
          <w:szCs w:val="24"/>
        </w:rPr>
        <w:t>,</w:t>
      </w:r>
      <w:r w:rsidR="007E41A5">
        <w:rPr>
          <w:rFonts w:eastAsia="Calibri" w:cs="Arial"/>
          <w:sz w:val="24"/>
          <w:szCs w:val="24"/>
        </w:rPr>
        <w:t xml:space="preserve"> supporting the development of the most effective solutions that</w:t>
      </w:r>
      <w:r w:rsidR="00D27852">
        <w:rPr>
          <w:rFonts w:eastAsia="Calibri" w:cs="Arial"/>
          <w:sz w:val="24"/>
          <w:szCs w:val="24"/>
        </w:rPr>
        <w:t xml:space="preserve"> deliver for the environment.  All the comments in this Annex refer only to DCWW’s operations in England</w:t>
      </w:r>
    </w:p>
    <w:p w:rsidR="00296C93" w:rsidRPr="009A4694" w:rsidRDefault="00BE3AD8" w:rsidP="00BE3AD8">
      <w:pPr>
        <w:rPr>
          <w:rFonts w:eastAsia="Calibri" w:cs="Arial"/>
          <w:sz w:val="24"/>
          <w:szCs w:val="24"/>
        </w:rPr>
      </w:pPr>
      <w:r w:rsidRPr="009A4694">
        <w:rPr>
          <w:rFonts w:eastAsia="Calibri" w:cs="Arial"/>
          <w:sz w:val="24"/>
          <w:szCs w:val="24"/>
        </w:rPr>
        <w:t xml:space="preserve">Our work includes </w:t>
      </w:r>
      <w:r w:rsidR="00AF53E8" w:rsidRPr="009A4694">
        <w:rPr>
          <w:rFonts w:eastAsia="Calibri" w:cs="Arial"/>
          <w:sz w:val="24"/>
          <w:szCs w:val="24"/>
        </w:rPr>
        <w:t xml:space="preserve">developing the </w:t>
      </w:r>
      <w:r w:rsidR="00D27852">
        <w:rPr>
          <w:rFonts w:eastAsia="Calibri" w:cs="Arial"/>
          <w:sz w:val="24"/>
          <w:szCs w:val="24"/>
        </w:rPr>
        <w:t xml:space="preserve">DCWW </w:t>
      </w:r>
      <w:r w:rsidR="00AF53E8" w:rsidRPr="009A4694">
        <w:rPr>
          <w:rFonts w:eastAsia="Calibri" w:cs="Arial"/>
          <w:sz w:val="24"/>
          <w:szCs w:val="24"/>
        </w:rPr>
        <w:t xml:space="preserve">National Environment Plan (NEP) to ensure that </w:t>
      </w:r>
      <w:r w:rsidR="00D27852">
        <w:rPr>
          <w:rFonts w:eastAsia="Calibri" w:cs="Arial"/>
          <w:sz w:val="24"/>
          <w:szCs w:val="24"/>
        </w:rPr>
        <w:t xml:space="preserve">the company </w:t>
      </w:r>
      <w:r w:rsidRPr="009A4694">
        <w:rPr>
          <w:rFonts w:cs="Arial"/>
          <w:sz w:val="24"/>
          <w:szCs w:val="24"/>
        </w:rPr>
        <w:t>meet</w:t>
      </w:r>
      <w:r w:rsidR="00AF53E8" w:rsidRPr="009A4694">
        <w:rPr>
          <w:rFonts w:cs="Arial"/>
          <w:sz w:val="24"/>
          <w:szCs w:val="24"/>
        </w:rPr>
        <w:t>s its</w:t>
      </w:r>
      <w:r w:rsidRPr="009A4694">
        <w:rPr>
          <w:rFonts w:cs="Arial"/>
          <w:sz w:val="24"/>
          <w:szCs w:val="24"/>
        </w:rPr>
        <w:t xml:space="preserve"> statutory obligations and national policy priorities across their operations, including water resources, water quality</w:t>
      </w:r>
      <w:r w:rsidR="00AF53E8" w:rsidRPr="009A4694">
        <w:rPr>
          <w:rFonts w:cs="Arial"/>
          <w:sz w:val="24"/>
          <w:szCs w:val="24"/>
        </w:rPr>
        <w:t xml:space="preserve">, fisheries, biodiversity </w:t>
      </w:r>
      <w:r w:rsidRPr="009A4694">
        <w:rPr>
          <w:rFonts w:cs="Arial"/>
          <w:sz w:val="24"/>
          <w:szCs w:val="24"/>
        </w:rPr>
        <w:t xml:space="preserve">and </w:t>
      </w:r>
      <w:r w:rsidR="00AF53E8" w:rsidRPr="009A4694">
        <w:rPr>
          <w:rFonts w:cs="Arial"/>
          <w:sz w:val="24"/>
          <w:szCs w:val="24"/>
        </w:rPr>
        <w:t xml:space="preserve">their </w:t>
      </w:r>
      <w:r w:rsidRPr="009A4694">
        <w:rPr>
          <w:rFonts w:cs="Arial"/>
          <w:sz w:val="24"/>
          <w:szCs w:val="24"/>
        </w:rPr>
        <w:t>ecosystem resilience duty.</w:t>
      </w:r>
      <w:r w:rsidR="00CD0769" w:rsidRPr="009A4694">
        <w:rPr>
          <w:rFonts w:cs="Arial"/>
          <w:sz w:val="24"/>
          <w:szCs w:val="24"/>
        </w:rPr>
        <w:t xml:space="preserve"> </w:t>
      </w:r>
      <w:r w:rsidRPr="009A4694">
        <w:rPr>
          <w:rFonts w:eastAsia="Calibri" w:cs="Arial"/>
          <w:sz w:val="24"/>
          <w:szCs w:val="24"/>
        </w:rPr>
        <w:t xml:space="preserve"> </w:t>
      </w:r>
    </w:p>
    <w:p w:rsidR="009A4694" w:rsidRPr="007E41A5" w:rsidRDefault="009A4694" w:rsidP="009A4694">
      <w:pPr>
        <w:rPr>
          <w:rFonts w:cs="Arial"/>
          <w:sz w:val="24"/>
          <w:szCs w:val="24"/>
        </w:rPr>
      </w:pPr>
      <w:r w:rsidRPr="009A4694">
        <w:rPr>
          <w:rFonts w:cs="Arial"/>
          <w:b/>
          <w:sz w:val="24"/>
          <w:szCs w:val="24"/>
        </w:rPr>
        <w:t xml:space="preserve">Long term planning: Welsh Water 2050 - </w:t>
      </w:r>
      <w:r w:rsidRPr="009A4694">
        <w:rPr>
          <w:rFonts w:cs="Arial"/>
          <w:sz w:val="24"/>
          <w:szCs w:val="24"/>
        </w:rPr>
        <w:t>We welcome</w:t>
      </w:r>
      <w:r w:rsidR="00D50767">
        <w:rPr>
          <w:rFonts w:cs="Arial"/>
          <w:sz w:val="24"/>
          <w:szCs w:val="24"/>
        </w:rPr>
        <w:t>d</w:t>
      </w:r>
      <w:r w:rsidRPr="009A4694">
        <w:rPr>
          <w:rFonts w:cs="Arial"/>
          <w:sz w:val="24"/>
          <w:szCs w:val="24"/>
        </w:rPr>
        <w:t xml:space="preserve"> the development of Dwr Cymru Welsh Water’s 2050 vision. This is a positive step in terms of identifying and framing the strategic challenges, responses and options </w:t>
      </w:r>
      <w:r w:rsidR="007E41A5">
        <w:rPr>
          <w:rFonts w:cs="Arial"/>
          <w:sz w:val="24"/>
          <w:szCs w:val="24"/>
        </w:rPr>
        <w:t xml:space="preserve">for </w:t>
      </w:r>
      <w:r w:rsidRPr="009A4694">
        <w:rPr>
          <w:rFonts w:cs="Arial"/>
          <w:sz w:val="24"/>
          <w:szCs w:val="24"/>
        </w:rPr>
        <w:t xml:space="preserve">the company.  We would like to see more </w:t>
      </w:r>
      <w:r w:rsidRPr="007E41A5">
        <w:rPr>
          <w:rFonts w:cs="Arial"/>
          <w:sz w:val="24"/>
          <w:szCs w:val="24"/>
        </w:rPr>
        <w:t>commitment from DCWW’s to the delivery of the vision in AMP7.</w:t>
      </w:r>
      <w:r w:rsidR="007E41A5" w:rsidRPr="007E41A5">
        <w:rPr>
          <w:rFonts w:cs="Arial"/>
          <w:sz w:val="24"/>
          <w:szCs w:val="24"/>
        </w:rPr>
        <w:t xml:space="preserve"> </w:t>
      </w:r>
    </w:p>
    <w:p w:rsidR="007E41A5" w:rsidRPr="007E41A5" w:rsidRDefault="007E41A5" w:rsidP="007E41A5">
      <w:pPr>
        <w:pStyle w:val="EndnoteText"/>
        <w:rPr>
          <w:rFonts w:asciiTheme="minorHAnsi" w:hAnsiTheme="minorHAnsi"/>
          <w:szCs w:val="24"/>
          <w:lang w:val="en-US"/>
        </w:rPr>
      </w:pPr>
      <w:r w:rsidRPr="007E41A5">
        <w:rPr>
          <w:rFonts w:asciiTheme="minorHAnsi" w:hAnsiTheme="minorHAnsi"/>
          <w:b/>
          <w:szCs w:val="24"/>
          <w:lang w:val="en-US"/>
        </w:rPr>
        <w:t>Wales Act</w:t>
      </w:r>
      <w:r w:rsidRPr="007E41A5">
        <w:rPr>
          <w:rFonts w:asciiTheme="minorHAnsi" w:hAnsiTheme="minorHAnsi"/>
          <w:szCs w:val="24"/>
          <w:lang w:val="en-US"/>
        </w:rPr>
        <w:t xml:space="preserve"> - The Wales Act 2017 is an Act of the Parliament of the United Kingdom, it sets out amendments to the Government of Wales Act 2006 and devolves further powers to Wales. </w:t>
      </w:r>
      <w:r w:rsidR="007003F1">
        <w:rPr>
          <w:rFonts w:asciiTheme="minorHAnsi" w:hAnsiTheme="minorHAnsi"/>
          <w:szCs w:val="24"/>
          <w:lang w:val="en-US"/>
        </w:rPr>
        <w:t>The Act will have the effect of removing the “wholly or mainly” principle and w</w:t>
      </w:r>
      <w:r w:rsidRPr="007E41A5">
        <w:rPr>
          <w:rFonts w:asciiTheme="minorHAnsi" w:hAnsiTheme="minorHAnsi"/>
          <w:szCs w:val="24"/>
          <w:lang w:val="en-US"/>
        </w:rPr>
        <w:t xml:space="preserve">e </w:t>
      </w:r>
      <w:r w:rsidR="00D50767">
        <w:rPr>
          <w:rFonts w:asciiTheme="minorHAnsi" w:hAnsiTheme="minorHAnsi"/>
          <w:szCs w:val="24"/>
          <w:lang w:val="en-US"/>
        </w:rPr>
        <w:t xml:space="preserve">have </w:t>
      </w:r>
      <w:r w:rsidRPr="007E41A5">
        <w:rPr>
          <w:rFonts w:asciiTheme="minorHAnsi" w:hAnsiTheme="minorHAnsi"/>
          <w:szCs w:val="24"/>
          <w:lang w:val="en-US"/>
        </w:rPr>
        <w:t>recommend</w:t>
      </w:r>
      <w:r w:rsidR="00D50767">
        <w:rPr>
          <w:rFonts w:asciiTheme="minorHAnsi" w:hAnsiTheme="minorHAnsi"/>
          <w:szCs w:val="24"/>
          <w:lang w:val="en-US"/>
        </w:rPr>
        <w:t xml:space="preserve">ed that </w:t>
      </w:r>
      <w:r w:rsidRPr="007E41A5">
        <w:rPr>
          <w:rFonts w:asciiTheme="minorHAnsi" w:hAnsiTheme="minorHAnsi"/>
          <w:szCs w:val="24"/>
          <w:lang w:val="en-US"/>
        </w:rPr>
        <w:t xml:space="preserve">any possible impacts of </w:t>
      </w:r>
      <w:r w:rsidR="007003F1">
        <w:rPr>
          <w:rFonts w:asciiTheme="minorHAnsi" w:hAnsiTheme="minorHAnsi"/>
          <w:szCs w:val="24"/>
          <w:lang w:val="en-US"/>
        </w:rPr>
        <w:t xml:space="preserve">this Act on development of the business </w:t>
      </w:r>
      <w:r w:rsidRPr="007E41A5">
        <w:rPr>
          <w:rFonts w:asciiTheme="minorHAnsi" w:hAnsiTheme="minorHAnsi"/>
          <w:szCs w:val="24"/>
          <w:lang w:val="en-US"/>
        </w:rPr>
        <w:t>plan</w:t>
      </w:r>
      <w:r w:rsidR="00D50767">
        <w:rPr>
          <w:rFonts w:asciiTheme="minorHAnsi" w:hAnsiTheme="minorHAnsi"/>
          <w:szCs w:val="24"/>
          <w:lang w:val="en-US"/>
        </w:rPr>
        <w:t xml:space="preserve"> are taken into account</w:t>
      </w:r>
      <w:r w:rsidRPr="007E41A5">
        <w:rPr>
          <w:rFonts w:asciiTheme="minorHAnsi" w:hAnsiTheme="minorHAnsi"/>
          <w:szCs w:val="24"/>
          <w:lang w:val="en-US"/>
        </w:rPr>
        <w:t xml:space="preserve">. </w:t>
      </w:r>
    </w:p>
    <w:p w:rsidR="00D50767" w:rsidRDefault="00D50767" w:rsidP="009A4694">
      <w:pPr>
        <w:rPr>
          <w:rFonts w:cs="Arial"/>
          <w:b/>
          <w:sz w:val="24"/>
          <w:szCs w:val="24"/>
        </w:rPr>
      </w:pPr>
    </w:p>
    <w:p w:rsidR="00605AE1" w:rsidRPr="009A4694" w:rsidRDefault="009A4694" w:rsidP="00605AE1">
      <w:pPr>
        <w:rPr>
          <w:rFonts w:cs="Arial"/>
          <w:sz w:val="24"/>
          <w:szCs w:val="24"/>
        </w:rPr>
      </w:pPr>
      <w:r>
        <w:rPr>
          <w:b/>
          <w:bCs/>
          <w:noProof/>
          <w:sz w:val="24"/>
          <w:szCs w:val="24"/>
          <w:lang w:eastAsia="en-GB"/>
        </w:rPr>
        <w:t xml:space="preserve">Integrated </w:t>
      </w:r>
      <w:r w:rsidR="00AF53E8" w:rsidRPr="009A4694">
        <w:rPr>
          <w:b/>
          <w:bCs/>
          <w:noProof/>
          <w:sz w:val="24"/>
          <w:szCs w:val="24"/>
          <w:lang w:eastAsia="en-GB"/>
        </w:rPr>
        <w:t>Catch</w:t>
      </w:r>
      <w:r>
        <w:rPr>
          <w:b/>
          <w:bCs/>
          <w:noProof/>
          <w:sz w:val="24"/>
          <w:szCs w:val="24"/>
          <w:lang w:eastAsia="en-GB"/>
        </w:rPr>
        <w:t xml:space="preserve">ment Delivery – </w:t>
      </w:r>
      <w:r>
        <w:rPr>
          <w:bCs/>
          <w:noProof/>
          <w:sz w:val="24"/>
          <w:szCs w:val="24"/>
          <w:lang w:eastAsia="en-GB"/>
        </w:rPr>
        <w:t xml:space="preserve">EA believe that multiple </w:t>
      </w:r>
      <w:r w:rsidR="00D50767">
        <w:rPr>
          <w:bCs/>
          <w:noProof/>
          <w:sz w:val="24"/>
          <w:szCs w:val="24"/>
          <w:lang w:eastAsia="en-GB"/>
        </w:rPr>
        <w:t xml:space="preserve">environmental </w:t>
      </w:r>
      <w:r>
        <w:rPr>
          <w:bCs/>
          <w:noProof/>
          <w:sz w:val="24"/>
          <w:szCs w:val="24"/>
          <w:lang w:eastAsia="en-GB"/>
        </w:rPr>
        <w:t>benefits and greater effficiencies can be realised by intregating all investment (both company and other sources) across a catchment which helps engage communities and customers in the solutions needed to protect and enhance the environment</w:t>
      </w:r>
      <w:r w:rsidR="00CA7986">
        <w:rPr>
          <w:bCs/>
          <w:noProof/>
          <w:sz w:val="24"/>
          <w:szCs w:val="24"/>
          <w:lang w:eastAsia="en-GB"/>
        </w:rPr>
        <w:t xml:space="preserve">. Whilst we </w:t>
      </w:r>
      <w:r w:rsidR="00605AE1" w:rsidRPr="009A4694">
        <w:rPr>
          <w:rFonts w:eastAsia="Calibri" w:cs="Arial"/>
          <w:sz w:val="24"/>
          <w:szCs w:val="24"/>
        </w:rPr>
        <w:t xml:space="preserve">welcome DCWW’s </w:t>
      </w:r>
      <w:r w:rsidR="00D50767">
        <w:rPr>
          <w:rFonts w:eastAsia="Calibri" w:cs="Arial"/>
          <w:sz w:val="24"/>
          <w:szCs w:val="24"/>
        </w:rPr>
        <w:t xml:space="preserve">developing </w:t>
      </w:r>
      <w:r w:rsidR="00605AE1" w:rsidRPr="009A4694">
        <w:rPr>
          <w:rFonts w:eastAsia="Calibri" w:cs="Arial"/>
          <w:sz w:val="24"/>
          <w:szCs w:val="24"/>
        </w:rPr>
        <w:t xml:space="preserve">catchment </w:t>
      </w:r>
      <w:r w:rsidR="00D50767">
        <w:rPr>
          <w:rFonts w:eastAsia="Calibri" w:cs="Arial"/>
          <w:sz w:val="24"/>
          <w:szCs w:val="24"/>
        </w:rPr>
        <w:t xml:space="preserve">approach we believe there are </w:t>
      </w:r>
      <w:r w:rsidR="00CA7986">
        <w:rPr>
          <w:rFonts w:eastAsia="Calibri" w:cs="Arial"/>
          <w:sz w:val="24"/>
          <w:szCs w:val="24"/>
        </w:rPr>
        <w:t>opportunit</w:t>
      </w:r>
      <w:r w:rsidR="00D50767">
        <w:rPr>
          <w:rFonts w:eastAsia="Calibri" w:cs="Arial"/>
          <w:sz w:val="24"/>
          <w:szCs w:val="24"/>
        </w:rPr>
        <w:t xml:space="preserve">ies for the company </w:t>
      </w:r>
      <w:r w:rsidR="00CA7986">
        <w:rPr>
          <w:rFonts w:eastAsia="Calibri" w:cs="Arial"/>
          <w:sz w:val="24"/>
          <w:szCs w:val="24"/>
        </w:rPr>
        <w:t xml:space="preserve">to seek greater integration and joint working </w:t>
      </w:r>
      <w:r w:rsidR="00605AE1" w:rsidRPr="009A4694">
        <w:rPr>
          <w:rFonts w:cs="Arial"/>
          <w:sz w:val="24"/>
          <w:szCs w:val="24"/>
        </w:rPr>
        <w:t xml:space="preserve">to deliver </w:t>
      </w:r>
      <w:r w:rsidR="00327A1E" w:rsidRPr="009A4694">
        <w:rPr>
          <w:rFonts w:cs="Arial"/>
          <w:sz w:val="24"/>
          <w:szCs w:val="24"/>
        </w:rPr>
        <w:t xml:space="preserve">cost-effective outcomes </w:t>
      </w:r>
      <w:r w:rsidR="00890A4B" w:rsidRPr="009A4694">
        <w:rPr>
          <w:rFonts w:cs="Arial"/>
          <w:sz w:val="24"/>
          <w:szCs w:val="24"/>
        </w:rPr>
        <w:t xml:space="preserve">and </w:t>
      </w:r>
      <w:r w:rsidR="00327A1E" w:rsidRPr="009A4694">
        <w:rPr>
          <w:rFonts w:cs="Arial"/>
          <w:sz w:val="24"/>
          <w:szCs w:val="24"/>
        </w:rPr>
        <w:t>multiple benefits</w:t>
      </w:r>
      <w:r w:rsidR="00605AE1" w:rsidRPr="009A4694">
        <w:rPr>
          <w:rFonts w:cs="Arial"/>
          <w:sz w:val="24"/>
          <w:szCs w:val="24"/>
        </w:rPr>
        <w:t xml:space="preserve">, </w:t>
      </w:r>
      <w:r w:rsidR="000E0899" w:rsidRPr="009A4694">
        <w:rPr>
          <w:rFonts w:cs="Arial"/>
          <w:sz w:val="24"/>
          <w:szCs w:val="24"/>
        </w:rPr>
        <w:t xml:space="preserve">as well as </w:t>
      </w:r>
      <w:r w:rsidR="00605AE1" w:rsidRPr="009A4694">
        <w:rPr>
          <w:rFonts w:cs="Arial"/>
          <w:sz w:val="24"/>
          <w:szCs w:val="24"/>
        </w:rPr>
        <w:t>explor</w:t>
      </w:r>
      <w:r w:rsidR="000E0899" w:rsidRPr="009A4694">
        <w:rPr>
          <w:rFonts w:cs="Arial"/>
          <w:sz w:val="24"/>
          <w:szCs w:val="24"/>
        </w:rPr>
        <w:t>ing</w:t>
      </w:r>
      <w:r w:rsidR="00605AE1" w:rsidRPr="009A4694">
        <w:rPr>
          <w:rFonts w:cs="Arial"/>
          <w:sz w:val="24"/>
          <w:szCs w:val="24"/>
        </w:rPr>
        <w:t xml:space="preserve"> new ways of working</w:t>
      </w:r>
      <w:r w:rsidR="000E0899" w:rsidRPr="009A4694">
        <w:rPr>
          <w:rFonts w:cs="Arial"/>
          <w:sz w:val="24"/>
          <w:szCs w:val="24"/>
        </w:rPr>
        <w:t xml:space="preserve"> to</w:t>
      </w:r>
      <w:r w:rsidR="00605AE1" w:rsidRPr="009A4694">
        <w:rPr>
          <w:rFonts w:cs="Arial"/>
          <w:sz w:val="24"/>
          <w:szCs w:val="24"/>
        </w:rPr>
        <w:t xml:space="preserve"> inform future delivery</w:t>
      </w:r>
      <w:r w:rsidR="00327A1E" w:rsidRPr="009A4694">
        <w:rPr>
          <w:rFonts w:cs="Arial"/>
          <w:sz w:val="24"/>
          <w:szCs w:val="24"/>
        </w:rPr>
        <w:t>.</w:t>
      </w:r>
    </w:p>
    <w:p w:rsidR="009B7E19" w:rsidRPr="009A4694" w:rsidRDefault="009B7E19" w:rsidP="00771D7C">
      <w:pPr>
        <w:rPr>
          <w:rFonts w:cs="Arial"/>
          <w:sz w:val="24"/>
          <w:szCs w:val="24"/>
        </w:rPr>
      </w:pPr>
      <w:r w:rsidRPr="009A4694">
        <w:rPr>
          <w:rFonts w:cs="Arial"/>
          <w:sz w:val="24"/>
          <w:szCs w:val="24"/>
        </w:rPr>
        <w:t xml:space="preserve">We would like to see the company demonstrate leadership in </w:t>
      </w:r>
      <w:r w:rsidR="00F96F4C" w:rsidRPr="009A4694">
        <w:rPr>
          <w:rFonts w:cs="Arial"/>
          <w:sz w:val="24"/>
          <w:szCs w:val="24"/>
        </w:rPr>
        <w:t>delivering</w:t>
      </w:r>
      <w:r w:rsidRPr="009A4694">
        <w:rPr>
          <w:rFonts w:cs="Arial"/>
          <w:sz w:val="24"/>
          <w:szCs w:val="24"/>
        </w:rPr>
        <w:t xml:space="preserve"> sustainable </w:t>
      </w:r>
      <w:r w:rsidR="00F96F4C" w:rsidRPr="009A4694">
        <w:rPr>
          <w:rFonts w:cs="Arial"/>
          <w:sz w:val="24"/>
          <w:szCs w:val="24"/>
        </w:rPr>
        <w:t>solutions</w:t>
      </w:r>
      <w:r w:rsidRPr="009A4694">
        <w:rPr>
          <w:rFonts w:cs="Arial"/>
          <w:sz w:val="24"/>
          <w:szCs w:val="24"/>
        </w:rPr>
        <w:t xml:space="preserve"> </w:t>
      </w:r>
      <w:r w:rsidR="00F96F4C" w:rsidRPr="009A4694">
        <w:rPr>
          <w:rFonts w:cs="Arial"/>
          <w:sz w:val="24"/>
          <w:szCs w:val="24"/>
        </w:rPr>
        <w:t>secur</w:t>
      </w:r>
      <w:r w:rsidR="005314B0" w:rsidRPr="009A4694">
        <w:rPr>
          <w:rFonts w:cs="Arial"/>
          <w:sz w:val="24"/>
          <w:szCs w:val="24"/>
        </w:rPr>
        <w:t>ing</w:t>
      </w:r>
      <w:r w:rsidR="00F96F4C" w:rsidRPr="009A4694">
        <w:rPr>
          <w:rFonts w:cs="Arial"/>
          <w:sz w:val="24"/>
          <w:szCs w:val="24"/>
        </w:rPr>
        <w:t xml:space="preserve"> commitments from </w:t>
      </w:r>
      <w:r w:rsidR="002F106E" w:rsidRPr="009A4694">
        <w:rPr>
          <w:rFonts w:cs="Arial"/>
          <w:sz w:val="24"/>
          <w:szCs w:val="24"/>
        </w:rPr>
        <w:t>other</w:t>
      </w:r>
      <w:r w:rsidR="005314B0" w:rsidRPr="009A4694">
        <w:rPr>
          <w:rFonts w:cs="Arial"/>
          <w:sz w:val="24"/>
          <w:szCs w:val="24"/>
        </w:rPr>
        <w:t xml:space="preserve"> organisations </w:t>
      </w:r>
      <w:r w:rsidR="002F106E" w:rsidRPr="009A4694">
        <w:rPr>
          <w:rFonts w:cs="Arial"/>
          <w:sz w:val="24"/>
          <w:szCs w:val="24"/>
        </w:rPr>
        <w:t>land</w:t>
      </w:r>
      <w:r w:rsidR="005314B0" w:rsidRPr="009A4694">
        <w:rPr>
          <w:rFonts w:cs="Arial"/>
          <w:sz w:val="24"/>
          <w:szCs w:val="24"/>
        </w:rPr>
        <w:t xml:space="preserve"> owners, third sector etc</w:t>
      </w:r>
      <w:r w:rsidR="002F106E" w:rsidRPr="009A4694">
        <w:rPr>
          <w:rFonts w:cs="Arial"/>
          <w:sz w:val="24"/>
          <w:szCs w:val="24"/>
        </w:rPr>
        <w:t>).</w:t>
      </w:r>
      <w:r w:rsidRPr="009A4694">
        <w:rPr>
          <w:rFonts w:cs="Arial"/>
          <w:sz w:val="24"/>
          <w:szCs w:val="24"/>
        </w:rPr>
        <w:t xml:space="preserve">  </w:t>
      </w:r>
      <w:r w:rsidR="00CA7986">
        <w:rPr>
          <w:rFonts w:cs="Arial"/>
          <w:sz w:val="24"/>
          <w:szCs w:val="24"/>
        </w:rPr>
        <w:t xml:space="preserve">EA are happy to support such </w:t>
      </w:r>
      <w:r w:rsidR="005314B0" w:rsidRPr="009A4694">
        <w:rPr>
          <w:rFonts w:cs="Arial"/>
          <w:sz w:val="24"/>
          <w:szCs w:val="24"/>
        </w:rPr>
        <w:t>initiative</w:t>
      </w:r>
      <w:r w:rsidR="00CA7986">
        <w:rPr>
          <w:rFonts w:cs="Arial"/>
          <w:sz w:val="24"/>
          <w:szCs w:val="24"/>
        </w:rPr>
        <w:t>s</w:t>
      </w:r>
      <w:r w:rsidR="005314B0" w:rsidRPr="009A4694">
        <w:rPr>
          <w:rFonts w:cs="Arial"/>
          <w:sz w:val="24"/>
          <w:szCs w:val="24"/>
        </w:rPr>
        <w:t xml:space="preserve"> helping where we can </w:t>
      </w:r>
      <w:r w:rsidRPr="009A4694">
        <w:rPr>
          <w:rFonts w:cs="Arial"/>
          <w:sz w:val="24"/>
          <w:szCs w:val="24"/>
        </w:rPr>
        <w:t xml:space="preserve">to bring other </w:t>
      </w:r>
      <w:r w:rsidR="00D27852">
        <w:rPr>
          <w:rFonts w:cs="Arial"/>
          <w:sz w:val="24"/>
          <w:szCs w:val="24"/>
        </w:rPr>
        <w:t>interests</w:t>
      </w:r>
      <w:r w:rsidRPr="009A4694">
        <w:rPr>
          <w:rFonts w:cs="Arial"/>
          <w:sz w:val="24"/>
          <w:szCs w:val="24"/>
        </w:rPr>
        <w:t xml:space="preserve"> to </w:t>
      </w:r>
      <w:r w:rsidR="002F106E" w:rsidRPr="009A4694">
        <w:rPr>
          <w:rFonts w:cs="Arial"/>
          <w:sz w:val="24"/>
          <w:szCs w:val="24"/>
        </w:rPr>
        <w:t xml:space="preserve">the table, and also in </w:t>
      </w:r>
      <w:r w:rsidR="001022F9" w:rsidRPr="009A4694">
        <w:rPr>
          <w:rFonts w:cs="Arial"/>
          <w:sz w:val="24"/>
          <w:szCs w:val="24"/>
        </w:rPr>
        <w:t>developing new regulatory approaches (e.g. for catchment solutions)</w:t>
      </w:r>
      <w:r w:rsidR="002F106E" w:rsidRPr="009A4694">
        <w:rPr>
          <w:rFonts w:cs="Arial"/>
          <w:sz w:val="24"/>
          <w:szCs w:val="24"/>
        </w:rPr>
        <w:t xml:space="preserve">.  </w:t>
      </w:r>
    </w:p>
    <w:p w:rsidR="00B84EC5" w:rsidRPr="009A4694" w:rsidRDefault="00CA7986" w:rsidP="00BE3AD8">
      <w:pPr>
        <w:rPr>
          <w:rFonts w:cs="Arial"/>
          <w:sz w:val="24"/>
          <w:szCs w:val="24"/>
        </w:rPr>
      </w:pPr>
      <w:r w:rsidRPr="00CA7986">
        <w:rPr>
          <w:rFonts w:cs="Arial"/>
          <w:b/>
          <w:sz w:val="24"/>
          <w:szCs w:val="24"/>
        </w:rPr>
        <w:t>Sludge Resilience and Compliance</w:t>
      </w:r>
      <w:r>
        <w:rPr>
          <w:rFonts w:cs="Arial"/>
          <w:sz w:val="24"/>
          <w:szCs w:val="24"/>
        </w:rPr>
        <w:t xml:space="preserve"> - </w:t>
      </w:r>
      <w:r w:rsidR="001022F9" w:rsidRPr="009A4694">
        <w:rPr>
          <w:rFonts w:cs="Arial"/>
          <w:sz w:val="24"/>
          <w:szCs w:val="24"/>
        </w:rPr>
        <w:t xml:space="preserve">We </w:t>
      </w:r>
      <w:r w:rsidR="00224A8C" w:rsidRPr="009A4694">
        <w:rPr>
          <w:rFonts w:cs="Arial"/>
          <w:sz w:val="24"/>
          <w:szCs w:val="24"/>
        </w:rPr>
        <w:t xml:space="preserve">would like to see the company develop and deliver a clear sludge strategy that outlines how it will be resilient in difficult </w:t>
      </w:r>
      <w:r w:rsidR="000D7E5D" w:rsidRPr="009A4694">
        <w:rPr>
          <w:rFonts w:cs="Arial"/>
          <w:sz w:val="24"/>
          <w:szCs w:val="24"/>
        </w:rPr>
        <w:t xml:space="preserve">operational </w:t>
      </w:r>
      <w:r w:rsidR="00224A8C" w:rsidRPr="009A4694">
        <w:rPr>
          <w:rFonts w:cs="Arial"/>
          <w:sz w:val="24"/>
          <w:szCs w:val="24"/>
        </w:rPr>
        <w:t>conditions and ensures there is sufficient treatment, handling, recovery and if needed disposal capacity to prevent negative environmental impacts</w:t>
      </w:r>
      <w:r w:rsidR="00B84EC5" w:rsidRPr="009A4694">
        <w:rPr>
          <w:rFonts w:cs="Arial"/>
          <w:sz w:val="24"/>
          <w:szCs w:val="24"/>
        </w:rPr>
        <w:t>.</w:t>
      </w:r>
      <w:r w:rsidR="00224A8C" w:rsidRPr="009A4694">
        <w:rPr>
          <w:rFonts w:cs="Arial"/>
          <w:sz w:val="24"/>
          <w:szCs w:val="24"/>
        </w:rPr>
        <w:t xml:space="preserve"> The strategy should also ensure compliance with relevant legislation in England.</w:t>
      </w:r>
    </w:p>
    <w:p w:rsidR="00F0640D" w:rsidRPr="009A4694" w:rsidRDefault="00CA7986" w:rsidP="00BE3AD8">
      <w:pPr>
        <w:rPr>
          <w:rFonts w:cs="Arial"/>
          <w:sz w:val="24"/>
          <w:szCs w:val="24"/>
        </w:rPr>
      </w:pPr>
      <w:r w:rsidRPr="00CA7986">
        <w:rPr>
          <w:rFonts w:cs="Arial"/>
          <w:b/>
          <w:sz w:val="24"/>
          <w:szCs w:val="24"/>
        </w:rPr>
        <w:lastRenderedPageBreak/>
        <w:t>Reducing Flood Risk</w:t>
      </w:r>
      <w:r>
        <w:rPr>
          <w:rFonts w:cs="Arial"/>
          <w:sz w:val="24"/>
          <w:szCs w:val="24"/>
        </w:rPr>
        <w:t xml:space="preserve"> - </w:t>
      </w:r>
      <w:r w:rsidR="00B84EC5" w:rsidRPr="009A4694">
        <w:rPr>
          <w:rFonts w:cs="Arial"/>
          <w:sz w:val="24"/>
          <w:szCs w:val="24"/>
        </w:rPr>
        <w:t>W</w:t>
      </w:r>
      <w:r w:rsidR="00600F81" w:rsidRPr="009A4694">
        <w:rPr>
          <w:rFonts w:cs="Arial"/>
          <w:sz w:val="24"/>
          <w:szCs w:val="24"/>
        </w:rPr>
        <w:t xml:space="preserve">e expect </w:t>
      </w:r>
      <w:r w:rsidR="004334A6" w:rsidRPr="009A4694">
        <w:rPr>
          <w:rFonts w:cs="Arial"/>
          <w:sz w:val="24"/>
          <w:szCs w:val="24"/>
        </w:rPr>
        <w:t xml:space="preserve">the company </w:t>
      </w:r>
      <w:r w:rsidR="00F0640D" w:rsidRPr="009A4694">
        <w:rPr>
          <w:rFonts w:cs="Arial"/>
          <w:sz w:val="24"/>
          <w:szCs w:val="24"/>
        </w:rPr>
        <w:t>to</w:t>
      </w:r>
      <w:r w:rsidR="004334A6" w:rsidRPr="009A4694">
        <w:rPr>
          <w:rFonts w:cs="Arial"/>
          <w:sz w:val="24"/>
          <w:szCs w:val="24"/>
        </w:rPr>
        <w:t xml:space="preserve"> take the lead in developing a </w:t>
      </w:r>
      <w:r w:rsidR="00224A8C" w:rsidRPr="009A4694">
        <w:rPr>
          <w:rFonts w:cs="Arial"/>
          <w:sz w:val="24"/>
          <w:szCs w:val="24"/>
        </w:rPr>
        <w:t xml:space="preserve">Drainage and Wastewater Management Plan that </w:t>
      </w:r>
      <w:r w:rsidR="000D7E5D" w:rsidRPr="009A4694">
        <w:rPr>
          <w:rFonts w:cs="Arial"/>
          <w:sz w:val="24"/>
          <w:szCs w:val="24"/>
        </w:rPr>
        <w:t xml:space="preserve">reduces the negative environmental impacts </w:t>
      </w:r>
      <w:r w:rsidR="00375CFF" w:rsidRPr="009A4694">
        <w:rPr>
          <w:rFonts w:cs="Arial"/>
          <w:sz w:val="24"/>
          <w:szCs w:val="24"/>
        </w:rPr>
        <w:t>of the</w:t>
      </w:r>
      <w:r w:rsidR="00D27852">
        <w:rPr>
          <w:rFonts w:cs="Arial"/>
          <w:sz w:val="24"/>
          <w:szCs w:val="24"/>
        </w:rPr>
        <w:t>ir</w:t>
      </w:r>
      <w:r w:rsidR="00375CFF" w:rsidRPr="009A4694">
        <w:rPr>
          <w:rFonts w:cs="Arial"/>
          <w:sz w:val="24"/>
          <w:szCs w:val="24"/>
        </w:rPr>
        <w:t xml:space="preserve"> wastewater assets </w:t>
      </w:r>
      <w:r w:rsidR="00D27852">
        <w:rPr>
          <w:rFonts w:cs="Arial"/>
          <w:sz w:val="24"/>
          <w:szCs w:val="24"/>
        </w:rPr>
        <w:t xml:space="preserve">whilst </w:t>
      </w:r>
      <w:r w:rsidR="00D27852" w:rsidRPr="009A4694">
        <w:rPr>
          <w:rFonts w:cs="Arial"/>
          <w:sz w:val="24"/>
          <w:szCs w:val="24"/>
        </w:rPr>
        <w:t>maximisi</w:t>
      </w:r>
      <w:r w:rsidR="00D27852">
        <w:rPr>
          <w:rFonts w:cs="Arial"/>
          <w:sz w:val="24"/>
          <w:szCs w:val="24"/>
        </w:rPr>
        <w:t xml:space="preserve">ng </w:t>
      </w:r>
      <w:r w:rsidR="00224A8C" w:rsidRPr="009A4694">
        <w:rPr>
          <w:rFonts w:cs="Arial"/>
          <w:sz w:val="24"/>
          <w:szCs w:val="24"/>
        </w:rPr>
        <w:t xml:space="preserve">the </w:t>
      </w:r>
      <w:r w:rsidR="00375CFF" w:rsidRPr="009A4694">
        <w:rPr>
          <w:rFonts w:cs="Arial"/>
          <w:sz w:val="24"/>
          <w:szCs w:val="24"/>
        </w:rPr>
        <w:t xml:space="preserve">benefits of </w:t>
      </w:r>
      <w:r w:rsidR="00D27852">
        <w:rPr>
          <w:rFonts w:cs="Arial"/>
          <w:sz w:val="24"/>
          <w:szCs w:val="24"/>
        </w:rPr>
        <w:t>a</w:t>
      </w:r>
      <w:r w:rsidR="00043393">
        <w:rPr>
          <w:rFonts w:cs="Arial"/>
          <w:sz w:val="24"/>
          <w:szCs w:val="24"/>
        </w:rPr>
        <w:t xml:space="preserve"> proactively </w:t>
      </w:r>
      <w:r w:rsidR="00D27852">
        <w:rPr>
          <w:rFonts w:cs="Arial"/>
          <w:sz w:val="24"/>
          <w:szCs w:val="24"/>
        </w:rPr>
        <w:t xml:space="preserve">managed </w:t>
      </w:r>
      <w:r w:rsidR="004334A6" w:rsidRPr="009A4694">
        <w:rPr>
          <w:rFonts w:cs="Arial"/>
          <w:sz w:val="24"/>
          <w:szCs w:val="24"/>
        </w:rPr>
        <w:t>waste water network</w:t>
      </w:r>
      <w:r w:rsidR="00600F81" w:rsidRPr="009A4694">
        <w:rPr>
          <w:rFonts w:cs="Arial"/>
          <w:sz w:val="24"/>
          <w:szCs w:val="24"/>
        </w:rPr>
        <w:t>.</w:t>
      </w:r>
    </w:p>
    <w:p w:rsidR="00D561D6" w:rsidRPr="00A07F7B" w:rsidRDefault="00536313" w:rsidP="00D561D6">
      <w:pPr>
        <w:rPr>
          <w:rFonts w:cs="Arial"/>
          <w:sz w:val="24"/>
          <w:szCs w:val="24"/>
        </w:rPr>
      </w:pPr>
      <w:r w:rsidRPr="009A4694">
        <w:rPr>
          <w:rFonts w:cs="Arial"/>
          <w:b/>
          <w:sz w:val="24"/>
          <w:szCs w:val="24"/>
        </w:rPr>
        <w:t>Affordability</w:t>
      </w:r>
      <w:r w:rsidR="007003F1">
        <w:rPr>
          <w:rFonts w:cs="Arial"/>
          <w:b/>
          <w:sz w:val="24"/>
          <w:szCs w:val="24"/>
        </w:rPr>
        <w:t xml:space="preserve"> – </w:t>
      </w:r>
      <w:r w:rsidR="00043393" w:rsidRPr="00A07F7B">
        <w:rPr>
          <w:rFonts w:cs="Arial"/>
          <w:sz w:val="24"/>
          <w:szCs w:val="24"/>
        </w:rPr>
        <w:t xml:space="preserve">The Environment Agency supports discussions on extended deadlines for some elements of the NEP although we expect that these should be by exception and only where a clear case can be made that there is a clear benefit to customers and the environment. </w:t>
      </w:r>
      <w:r w:rsidR="00A07F7B">
        <w:rPr>
          <w:rFonts w:cs="Arial"/>
          <w:sz w:val="24"/>
          <w:szCs w:val="24"/>
        </w:rPr>
        <w:t xml:space="preserve">That case should be agreed with </w:t>
      </w:r>
      <w:r w:rsidR="00043393" w:rsidRPr="00A07F7B">
        <w:rPr>
          <w:rFonts w:cs="Arial"/>
          <w:sz w:val="24"/>
          <w:szCs w:val="24"/>
        </w:rPr>
        <w:t>the regulators. T</w:t>
      </w:r>
      <w:r w:rsidR="007003F1" w:rsidRPr="00A07F7B">
        <w:rPr>
          <w:rFonts w:cs="Arial"/>
          <w:sz w:val="24"/>
          <w:szCs w:val="24"/>
        </w:rPr>
        <w:t>he issue of affordability is one for Ofwat and through the river basin plan</w:t>
      </w:r>
      <w:r w:rsidR="00043393" w:rsidRPr="00A07F7B">
        <w:rPr>
          <w:rFonts w:cs="Arial"/>
          <w:sz w:val="24"/>
          <w:szCs w:val="24"/>
        </w:rPr>
        <w:t>,</w:t>
      </w:r>
      <w:r w:rsidR="007003F1" w:rsidRPr="00A07F7B">
        <w:rPr>
          <w:rFonts w:cs="Arial"/>
          <w:sz w:val="24"/>
          <w:szCs w:val="24"/>
        </w:rPr>
        <w:t xml:space="preserve"> for the minister</w:t>
      </w:r>
      <w:r w:rsidR="00043393" w:rsidRPr="00A07F7B">
        <w:rPr>
          <w:rFonts w:cs="Arial"/>
          <w:sz w:val="24"/>
          <w:szCs w:val="24"/>
        </w:rPr>
        <w:t>,</w:t>
      </w:r>
      <w:r w:rsidR="007003F1" w:rsidRPr="00A07F7B">
        <w:rPr>
          <w:rFonts w:cs="Arial"/>
          <w:sz w:val="24"/>
          <w:szCs w:val="24"/>
        </w:rPr>
        <w:t xml:space="preserve"> EA are concerned that investment in infrastructure renewal and development </w:t>
      </w:r>
      <w:r w:rsidR="00043393" w:rsidRPr="00A07F7B">
        <w:rPr>
          <w:rFonts w:cs="Arial"/>
          <w:sz w:val="24"/>
          <w:szCs w:val="24"/>
        </w:rPr>
        <w:t xml:space="preserve">maybe </w:t>
      </w:r>
      <w:r w:rsidR="007003F1" w:rsidRPr="00A07F7B">
        <w:rPr>
          <w:rFonts w:cs="Arial"/>
          <w:sz w:val="24"/>
          <w:szCs w:val="24"/>
        </w:rPr>
        <w:t xml:space="preserve">insufficient to ensure that </w:t>
      </w:r>
      <w:r w:rsidR="00043393" w:rsidRPr="00A07F7B">
        <w:rPr>
          <w:rFonts w:cs="Arial"/>
          <w:sz w:val="24"/>
          <w:szCs w:val="24"/>
        </w:rPr>
        <w:t xml:space="preserve">company will </w:t>
      </w:r>
      <w:r w:rsidR="007003F1" w:rsidRPr="00A07F7B">
        <w:rPr>
          <w:rFonts w:cs="Arial"/>
          <w:sz w:val="24"/>
          <w:szCs w:val="24"/>
        </w:rPr>
        <w:t xml:space="preserve">achieve </w:t>
      </w:r>
      <w:r w:rsidR="001B2C75">
        <w:rPr>
          <w:rFonts w:cs="Arial"/>
          <w:sz w:val="24"/>
          <w:szCs w:val="24"/>
        </w:rPr>
        <w:t xml:space="preserve">its target of </w:t>
      </w:r>
      <w:r w:rsidR="00043393" w:rsidRPr="00A07F7B">
        <w:rPr>
          <w:rFonts w:cs="Arial"/>
          <w:sz w:val="24"/>
          <w:szCs w:val="24"/>
        </w:rPr>
        <w:t xml:space="preserve">100% </w:t>
      </w:r>
      <w:r w:rsidR="003B753E" w:rsidRPr="00A07F7B">
        <w:rPr>
          <w:rFonts w:cs="Arial"/>
          <w:sz w:val="24"/>
          <w:szCs w:val="24"/>
        </w:rPr>
        <w:t xml:space="preserve">compliance </w:t>
      </w:r>
      <w:r w:rsidR="007003F1" w:rsidRPr="00A07F7B">
        <w:rPr>
          <w:rFonts w:cs="Arial"/>
          <w:sz w:val="24"/>
          <w:szCs w:val="24"/>
        </w:rPr>
        <w:t>with</w:t>
      </w:r>
      <w:r w:rsidR="001B2C75">
        <w:rPr>
          <w:rFonts w:cs="Arial"/>
          <w:sz w:val="24"/>
          <w:szCs w:val="24"/>
        </w:rPr>
        <w:t xml:space="preserve"> its</w:t>
      </w:r>
      <w:r w:rsidR="007003F1" w:rsidRPr="00A07F7B">
        <w:rPr>
          <w:rFonts w:cs="Arial"/>
          <w:sz w:val="24"/>
          <w:szCs w:val="24"/>
        </w:rPr>
        <w:t xml:space="preserve"> legal obligations.</w:t>
      </w:r>
      <w:r w:rsidR="003B753E" w:rsidRPr="00A07F7B">
        <w:rPr>
          <w:rFonts w:cs="Arial"/>
          <w:sz w:val="24"/>
          <w:szCs w:val="24"/>
        </w:rPr>
        <w:t xml:space="preserve"> There is a risk that </w:t>
      </w:r>
      <w:r w:rsidR="00D561D6" w:rsidRPr="00A07F7B">
        <w:rPr>
          <w:rFonts w:cs="Arial"/>
          <w:sz w:val="24"/>
          <w:szCs w:val="24"/>
        </w:rPr>
        <w:t>the</w:t>
      </w:r>
      <w:r w:rsidR="003B753E" w:rsidRPr="00A07F7B">
        <w:rPr>
          <w:rFonts w:cs="Arial"/>
          <w:sz w:val="24"/>
          <w:szCs w:val="24"/>
        </w:rPr>
        <w:t xml:space="preserve"> current proposals in the </w:t>
      </w:r>
      <w:r w:rsidR="00D561D6" w:rsidRPr="00A07F7B">
        <w:rPr>
          <w:rFonts w:cs="Arial"/>
          <w:sz w:val="24"/>
          <w:szCs w:val="24"/>
        </w:rPr>
        <w:t>business plan</w:t>
      </w:r>
      <w:r w:rsidR="00943927" w:rsidRPr="00A07F7B">
        <w:rPr>
          <w:rFonts w:cs="Arial"/>
          <w:sz w:val="24"/>
          <w:szCs w:val="24"/>
        </w:rPr>
        <w:t xml:space="preserve"> maybe</w:t>
      </w:r>
      <w:r w:rsidR="00D561D6" w:rsidRPr="00A07F7B">
        <w:rPr>
          <w:rFonts w:cs="Arial"/>
          <w:sz w:val="24"/>
          <w:szCs w:val="24"/>
        </w:rPr>
        <w:t xml:space="preserve"> deferring investment on key environmental obligations</w:t>
      </w:r>
      <w:r w:rsidR="003B753E" w:rsidRPr="00A07F7B">
        <w:rPr>
          <w:rFonts w:cs="Arial"/>
          <w:sz w:val="24"/>
          <w:szCs w:val="24"/>
        </w:rPr>
        <w:t xml:space="preserve"> to future AMP cycles </w:t>
      </w:r>
      <w:r w:rsidR="00943927" w:rsidRPr="00A07F7B">
        <w:rPr>
          <w:rFonts w:cs="Arial"/>
          <w:sz w:val="24"/>
          <w:szCs w:val="24"/>
        </w:rPr>
        <w:t>suggesting that the environment will remain at greater risk than necessary.</w:t>
      </w:r>
      <w:r w:rsidR="007003F1" w:rsidRPr="00A07F7B">
        <w:rPr>
          <w:rFonts w:cs="Arial"/>
          <w:sz w:val="24"/>
          <w:szCs w:val="24"/>
        </w:rPr>
        <w:t xml:space="preserve"> </w:t>
      </w:r>
    </w:p>
    <w:p w:rsidR="003C010A" w:rsidRPr="009A4694" w:rsidRDefault="003C010A" w:rsidP="00D561D6">
      <w:pPr>
        <w:rPr>
          <w:rFonts w:cs="Arial"/>
          <w:sz w:val="24"/>
          <w:szCs w:val="24"/>
        </w:rPr>
      </w:pPr>
      <w:r w:rsidRPr="009A4694">
        <w:rPr>
          <w:rFonts w:cs="Arial"/>
          <w:sz w:val="24"/>
          <w:szCs w:val="24"/>
        </w:rPr>
        <w:t xml:space="preserve">Customer research has demonstrated that the environment is a priority issue.  We feel this provides a strong basis for an ambitious PR19 plan address environmental challenges framed in Welsh Water 2050. </w:t>
      </w:r>
    </w:p>
    <w:p w:rsidR="00771D7C" w:rsidRDefault="00771D7C">
      <w:pPr>
        <w:rPr>
          <w:rFonts w:cs="Arial"/>
          <w:sz w:val="24"/>
          <w:szCs w:val="24"/>
        </w:rPr>
      </w:pPr>
      <w:r w:rsidRPr="009A4694">
        <w:rPr>
          <w:rFonts w:cs="Arial"/>
          <w:b/>
          <w:sz w:val="24"/>
          <w:szCs w:val="24"/>
        </w:rPr>
        <w:t>Measures of Success &amp; Targets</w:t>
      </w:r>
      <w:r w:rsidR="00943927">
        <w:rPr>
          <w:rFonts w:cs="Arial"/>
          <w:b/>
          <w:sz w:val="24"/>
          <w:szCs w:val="24"/>
        </w:rPr>
        <w:t xml:space="preserve"> - </w:t>
      </w:r>
      <w:r w:rsidR="003B44EA" w:rsidRPr="009A4694">
        <w:rPr>
          <w:rFonts w:cs="Arial"/>
          <w:sz w:val="24"/>
          <w:szCs w:val="24"/>
        </w:rPr>
        <w:t>We are concerned that some Measures of Success</w:t>
      </w:r>
      <w:r w:rsidR="00605AE1" w:rsidRPr="009A4694">
        <w:rPr>
          <w:rFonts w:cs="Arial"/>
          <w:sz w:val="24"/>
          <w:szCs w:val="24"/>
        </w:rPr>
        <w:t xml:space="preserve"> </w:t>
      </w:r>
      <w:r w:rsidR="003B44EA" w:rsidRPr="009A4694">
        <w:rPr>
          <w:rFonts w:cs="Arial"/>
          <w:sz w:val="24"/>
          <w:szCs w:val="24"/>
        </w:rPr>
        <w:t>linked to rewards and penalties are not stretching enough. In particular, whilst we recognise the effort DCWW have invested in reducing pollution incidents</w:t>
      </w:r>
      <w:r w:rsidR="00971BC2">
        <w:rPr>
          <w:rFonts w:cs="Arial"/>
          <w:sz w:val="24"/>
          <w:szCs w:val="24"/>
        </w:rPr>
        <w:t xml:space="preserve"> </w:t>
      </w:r>
      <w:r w:rsidR="003B44EA" w:rsidRPr="009A4694">
        <w:rPr>
          <w:rFonts w:cs="Arial"/>
          <w:sz w:val="24"/>
          <w:szCs w:val="24"/>
        </w:rPr>
        <w:t xml:space="preserve">we expect DCWW to drive numbers down further </w:t>
      </w:r>
      <w:r w:rsidR="00971BC2">
        <w:rPr>
          <w:rFonts w:cs="Arial"/>
          <w:sz w:val="24"/>
          <w:szCs w:val="24"/>
        </w:rPr>
        <w:t>in line with the challenge laid out in WISER</w:t>
      </w:r>
      <w:r w:rsidR="00605AE1" w:rsidRPr="009A4694">
        <w:rPr>
          <w:rFonts w:cs="Arial"/>
          <w:sz w:val="24"/>
          <w:szCs w:val="24"/>
        </w:rPr>
        <w:t>.</w:t>
      </w:r>
    </w:p>
    <w:p w:rsidR="007E41A5" w:rsidRPr="00971BC2" w:rsidRDefault="007E41A5" w:rsidP="007E41A5">
      <w:pPr>
        <w:rPr>
          <w:rFonts w:cs="Arial"/>
          <w:b/>
          <w:sz w:val="24"/>
          <w:szCs w:val="24"/>
        </w:rPr>
      </w:pPr>
      <w:r w:rsidRPr="00971BC2">
        <w:rPr>
          <w:rFonts w:cs="Arial"/>
          <w:b/>
          <w:sz w:val="24"/>
          <w:szCs w:val="24"/>
        </w:rPr>
        <w:t>Waste water programme</w:t>
      </w:r>
    </w:p>
    <w:p w:rsidR="00971BC2" w:rsidRDefault="007E41A5" w:rsidP="007E41A5">
      <w:pPr>
        <w:autoSpaceDE w:val="0"/>
        <w:autoSpaceDN w:val="0"/>
        <w:spacing w:after="120"/>
        <w:rPr>
          <w:rFonts w:cs="Arial"/>
          <w:sz w:val="24"/>
          <w:szCs w:val="24"/>
        </w:rPr>
      </w:pPr>
      <w:r w:rsidRPr="009A4694">
        <w:rPr>
          <w:rFonts w:cs="Arial"/>
          <w:sz w:val="24"/>
          <w:szCs w:val="24"/>
        </w:rPr>
        <w:t xml:space="preserve">We are concerned that the proposed scale of the PR19 waste water </w:t>
      </w:r>
      <w:r w:rsidRPr="007E41A5">
        <w:rPr>
          <w:rFonts w:cs="Arial"/>
          <w:sz w:val="24"/>
          <w:szCs w:val="24"/>
        </w:rPr>
        <w:t>programme</w:t>
      </w:r>
      <w:r w:rsidR="00971BC2">
        <w:rPr>
          <w:rFonts w:cs="Arial"/>
          <w:sz w:val="24"/>
          <w:szCs w:val="24"/>
        </w:rPr>
        <w:t xml:space="preserve"> </w:t>
      </w:r>
      <w:r w:rsidRPr="009A4694">
        <w:rPr>
          <w:rFonts w:cs="Arial"/>
          <w:sz w:val="24"/>
          <w:szCs w:val="24"/>
        </w:rPr>
        <w:t xml:space="preserve">will not match the long term challenge to improve aging or inadequate infrastructure which is contributing to environmental failure and risk of failure.  </w:t>
      </w:r>
    </w:p>
    <w:p w:rsidR="007E41A5" w:rsidRPr="009A4694" w:rsidRDefault="007E41A5" w:rsidP="007E41A5">
      <w:pPr>
        <w:autoSpaceDE w:val="0"/>
        <w:autoSpaceDN w:val="0"/>
        <w:spacing w:after="120"/>
        <w:rPr>
          <w:rFonts w:cs="Arial"/>
          <w:sz w:val="24"/>
          <w:szCs w:val="24"/>
        </w:rPr>
      </w:pPr>
      <w:r w:rsidRPr="009A4694">
        <w:rPr>
          <w:rFonts w:cs="Arial"/>
          <w:sz w:val="24"/>
          <w:szCs w:val="24"/>
        </w:rPr>
        <w:t>We welcome DCWW’s commitment to look at innovative and cost-effective options (including catchment and end-of-pipe) when phasing delivery.  Where appropriate we will identify alternative appro</w:t>
      </w:r>
      <w:r w:rsidR="00971BC2">
        <w:rPr>
          <w:rFonts w:cs="Arial"/>
          <w:sz w:val="24"/>
          <w:szCs w:val="24"/>
        </w:rPr>
        <w:t>aches to defining requirements.</w:t>
      </w:r>
    </w:p>
    <w:p w:rsidR="007E41A5" w:rsidRDefault="001B2C75" w:rsidP="007E41A5">
      <w:pPr>
        <w:rPr>
          <w:rFonts w:cs="Arial"/>
          <w:sz w:val="24"/>
          <w:szCs w:val="24"/>
        </w:rPr>
      </w:pPr>
      <w:r>
        <w:rPr>
          <w:rFonts w:cs="Arial"/>
          <w:sz w:val="24"/>
          <w:szCs w:val="24"/>
        </w:rPr>
        <w:t>We are</w:t>
      </w:r>
      <w:r w:rsidR="007E41A5" w:rsidRPr="009A4694">
        <w:rPr>
          <w:rFonts w:cs="Arial"/>
          <w:sz w:val="24"/>
          <w:szCs w:val="24"/>
        </w:rPr>
        <w:t xml:space="preserve"> committed to developing a collaborative approach </w:t>
      </w:r>
      <w:r w:rsidR="00971BC2">
        <w:rPr>
          <w:rFonts w:cs="Arial"/>
          <w:sz w:val="24"/>
          <w:szCs w:val="24"/>
        </w:rPr>
        <w:t xml:space="preserve">we </w:t>
      </w:r>
      <w:r w:rsidR="007E41A5" w:rsidRPr="009A4694">
        <w:rPr>
          <w:rFonts w:cs="Arial"/>
          <w:sz w:val="24"/>
          <w:szCs w:val="24"/>
        </w:rPr>
        <w:t>look forward to continuing to work with DCWW on a number of key topics, including flexible permitting, nutrient off setting, sustainable drainage, and drainage &amp; waste water management plans.</w:t>
      </w:r>
    </w:p>
    <w:p w:rsidR="00771D7C" w:rsidRPr="00771D7C" w:rsidRDefault="00943927">
      <w:pPr>
        <w:rPr>
          <w:rFonts w:ascii="Arial" w:hAnsi="Arial" w:cs="Arial"/>
        </w:rPr>
      </w:pPr>
      <w:r w:rsidRPr="009A4694">
        <w:rPr>
          <w:rFonts w:cs="Arial"/>
          <w:b/>
          <w:sz w:val="24"/>
          <w:szCs w:val="24"/>
        </w:rPr>
        <w:t>Water resources</w:t>
      </w:r>
      <w:r>
        <w:rPr>
          <w:rFonts w:cs="Arial"/>
          <w:b/>
          <w:sz w:val="24"/>
          <w:szCs w:val="24"/>
        </w:rPr>
        <w:t xml:space="preserve"> – </w:t>
      </w:r>
      <w:r>
        <w:rPr>
          <w:rFonts w:cs="Arial"/>
          <w:sz w:val="24"/>
          <w:szCs w:val="24"/>
        </w:rPr>
        <w:t>We would like to see the company exercising greater control over both supply and demand embedding ambition</w:t>
      </w:r>
      <w:r w:rsidR="00DA4A33">
        <w:rPr>
          <w:rFonts w:cs="Arial"/>
          <w:sz w:val="24"/>
          <w:szCs w:val="24"/>
        </w:rPr>
        <w:t xml:space="preserve"> on</w:t>
      </w:r>
      <w:r>
        <w:rPr>
          <w:rFonts w:cs="Arial"/>
          <w:sz w:val="24"/>
          <w:szCs w:val="24"/>
        </w:rPr>
        <w:t xml:space="preserve"> leakage </w:t>
      </w:r>
      <w:r w:rsidR="00DA4A33">
        <w:rPr>
          <w:rFonts w:cs="Arial"/>
          <w:sz w:val="24"/>
          <w:szCs w:val="24"/>
        </w:rPr>
        <w:t xml:space="preserve">reduction </w:t>
      </w:r>
      <w:r>
        <w:rPr>
          <w:rFonts w:cs="Arial"/>
          <w:sz w:val="24"/>
          <w:szCs w:val="24"/>
        </w:rPr>
        <w:t xml:space="preserve">and public education on the value of water into their plan. </w:t>
      </w:r>
      <w:bookmarkEnd w:id="0"/>
    </w:p>
    <w:sectPr w:rsidR="00771D7C" w:rsidRPr="00771D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49" w:rsidRDefault="00992549" w:rsidP="00947478">
      <w:pPr>
        <w:spacing w:after="0" w:line="240" w:lineRule="auto"/>
      </w:pPr>
      <w:r>
        <w:separator/>
      </w:r>
    </w:p>
  </w:endnote>
  <w:endnote w:type="continuationSeparator" w:id="0">
    <w:p w:rsidR="00992549" w:rsidRDefault="00992549" w:rsidP="0094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49" w:rsidRDefault="00992549" w:rsidP="00947478">
      <w:pPr>
        <w:spacing w:after="0" w:line="240" w:lineRule="auto"/>
      </w:pPr>
      <w:r>
        <w:separator/>
      </w:r>
    </w:p>
  </w:footnote>
  <w:footnote w:type="continuationSeparator" w:id="0">
    <w:p w:rsidR="00992549" w:rsidRDefault="00992549" w:rsidP="0094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C4EB6"/>
    <w:multiLevelType w:val="hybridMultilevel"/>
    <w:tmpl w:val="7A9A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91A01"/>
    <w:multiLevelType w:val="hybridMultilevel"/>
    <w:tmpl w:val="8B303F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7C"/>
    <w:rsid w:val="00043393"/>
    <w:rsid w:val="000D7E5D"/>
    <w:rsid w:val="000E0899"/>
    <w:rsid w:val="001022F9"/>
    <w:rsid w:val="001475B6"/>
    <w:rsid w:val="00163FAF"/>
    <w:rsid w:val="0016744F"/>
    <w:rsid w:val="0017375F"/>
    <w:rsid w:val="00195DAD"/>
    <w:rsid w:val="001B2C75"/>
    <w:rsid w:val="00224A8C"/>
    <w:rsid w:val="00296C93"/>
    <w:rsid w:val="002A78D1"/>
    <w:rsid w:val="002F106E"/>
    <w:rsid w:val="00327A1E"/>
    <w:rsid w:val="00375CFF"/>
    <w:rsid w:val="003B44EA"/>
    <w:rsid w:val="003B753E"/>
    <w:rsid w:val="003C010A"/>
    <w:rsid w:val="004119E7"/>
    <w:rsid w:val="004334A6"/>
    <w:rsid w:val="005314B0"/>
    <w:rsid w:val="00536313"/>
    <w:rsid w:val="00553E7C"/>
    <w:rsid w:val="00582797"/>
    <w:rsid w:val="005B38A9"/>
    <w:rsid w:val="00600F81"/>
    <w:rsid w:val="00605AE1"/>
    <w:rsid w:val="006F6067"/>
    <w:rsid w:val="007003F1"/>
    <w:rsid w:val="00771D7C"/>
    <w:rsid w:val="007813E6"/>
    <w:rsid w:val="007E41A5"/>
    <w:rsid w:val="007F6944"/>
    <w:rsid w:val="00803C21"/>
    <w:rsid w:val="008760BA"/>
    <w:rsid w:val="00890A4B"/>
    <w:rsid w:val="008B5F72"/>
    <w:rsid w:val="0092450A"/>
    <w:rsid w:val="00931A14"/>
    <w:rsid w:val="00943927"/>
    <w:rsid w:val="00947478"/>
    <w:rsid w:val="00971BC2"/>
    <w:rsid w:val="00992549"/>
    <w:rsid w:val="009A4694"/>
    <w:rsid w:val="009B7E19"/>
    <w:rsid w:val="009E20CA"/>
    <w:rsid w:val="00A07F7B"/>
    <w:rsid w:val="00A168CB"/>
    <w:rsid w:val="00AF53E8"/>
    <w:rsid w:val="00B84EC5"/>
    <w:rsid w:val="00BE3AD8"/>
    <w:rsid w:val="00C264EF"/>
    <w:rsid w:val="00C5133B"/>
    <w:rsid w:val="00CA7986"/>
    <w:rsid w:val="00CB39DF"/>
    <w:rsid w:val="00CD0769"/>
    <w:rsid w:val="00D27852"/>
    <w:rsid w:val="00D50767"/>
    <w:rsid w:val="00D561D6"/>
    <w:rsid w:val="00D700EE"/>
    <w:rsid w:val="00DA4A33"/>
    <w:rsid w:val="00E0031D"/>
    <w:rsid w:val="00ED6829"/>
    <w:rsid w:val="00F0640D"/>
    <w:rsid w:val="00F96F4C"/>
    <w:rsid w:val="00FA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E277F-D401-48D9-93ED-C6F5BDB0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D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rsid w:val="00296C93"/>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qFormat/>
    <w:locked/>
    <w:rsid w:val="00296C93"/>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47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478"/>
  </w:style>
  <w:style w:type="paragraph" w:styleId="Footer">
    <w:name w:val="footer"/>
    <w:basedOn w:val="Normal"/>
    <w:link w:val="FooterChar"/>
    <w:uiPriority w:val="99"/>
    <w:unhideWhenUsed/>
    <w:rsid w:val="00947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478"/>
  </w:style>
  <w:style w:type="table" w:styleId="TableGrid">
    <w:name w:val="Table Grid"/>
    <w:basedOn w:val="TableNormal"/>
    <w:uiPriority w:val="39"/>
    <w:rsid w:val="006F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E41A5"/>
    <w:pPr>
      <w:widowControl w:val="0"/>
      <w:snapToGrid w:val="0"/>
      <w:spacing w:after="0" w:line="240" w:lineRule="auto"/>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7E41A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0352">
      <w:bodyDiv w:val="1"/>
      <w:marLeft w:val="0"/>
      <w:marRight w:val="0"/>
      <w:marTop w:val="0"/>
      <w:marBottom w:val="0"/>
      <w:divBdr>
        <w:top w:val="none" w:sz="0" w:space="0" w:color="auto"/>
        <w:left w:val="none" w:sz="0" w:space="0" w:color="auto"/>
        <w:bottom w:val="none" w:sz="0" w:space="0" w:color="auto"/>
        <w:right w:val="none" w:sz="0" w:space="0" w:color="auto"/>
      </w:divBdr>
    </w:div>
    <w:div w:id="709645854">
      <w:bodyDiv w:val="1"/>
      <w:marLeft w:val="0"/>
      <w:marRight w:val="0"/>
      <w:marTop w:val="0"/>
      <w:marBottom w:val="0"/>
      <w:divBdr>
        <w:top w:val="none" w:sz="0" w:space="0" w:color="auto"/>
        <w:left w:val="none" w:sz="0" w:space="0" w:color="auto"/>
        <w:bottom w:val="none" w:sz="0" w:space="0" w:color="auto"/>
        <w:right w:val="none" w:sz="0" w:space="0" w:color="auto"/>
      </w:divBdr>
    </w:div>
    <w:div w:id="17752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EC83A3F498543929A83DCF95C0A5E" ma:contentTypeVersion="18" ma:contentTypeDescription="Create a new document." ma:contentTypeScope="" ma:versionID="c84cf371f8f34dc775056ead5ae898de">
  <xsd:schema xmlns:xsd="http://www.w3.org/2001/XMLSchema" xmlns:xs="http://www.w3.org/2001/XMLSchema" xmlns:p="http://schemas.microsoft.com/office/2006/metadata/properties" xmlns:ns2="3fb549b9-3563-4fd0-8b39-38cd8a9a19eb" xmlns:ns3="bf0dc320-b31f-45b4-ac43-8218b7f56e23" targetNamespace="http://schemas.microsoft.com/office/2006/metadata/properties" ma:root="true" ma:fieldsID="e7d4826e89489af58cf2cf0ffe698529" ns2:_="" ns3:_="">
    <xsd:import namespace="3fb549b9-3563-4fd0-8b39-38cd8a9a19eb"/>
    <xsd:import namespace="bf0dc320-b31f-45b4-ac43-8218b7f56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49b9-3563-4fd0-8b39-38cd8a9a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2ebcc9-8c7e-4175-8504-bd1ab9d01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dc320-b31f-45b4-ac43-8218b7f56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be70-c8e5-40fa-a164-fb7af3c2f0fa}" ma:internalName="TaxCatchAll" ma:showField="CatchAllData" ma:web="bf0dc320-b31f-45b4-ac43-8218b7f56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0dc320-b31f-45b4-ac43-8218b7f56e23" xsi:nil="true"/>
    <lcf76f155ced4ddcb4097134ff3c332f xmlns="3fb549b9-3563-4fd0-8b39-38cd8a9a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1732B9-E888-4041-B484-9DF9F95F3980}"/>
</file>

<file path=customXml/itemProps2.xml><?xml version="1.0" encoding="utf-8"?>
<ds:datastoreItem xmlns:ds="http://schemas.openxmlformats.org/officeDocument/2006/customXml" ds:itemID="{C445DDF6-AC16-44FB-AE82-6A9906D44D74}"/>
</file>

<file path=customXml/itemProps3.xml><?xml version="1.0" encoding="utf-8"?>
<ds:datastoreItem xmlns:ds="http://schemas.openxmlformats.org/officeDocument/2006/customXml" ds:itemID="{C5AEC0BE-A6CE-47B5-8E33-74AA08F89880}"/>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Geraint</dc:creator>
  <cp:keywords/>
  <dc:description/>
  <cp:lastModifiedBy>Mari</cp:lastModifiedBy>
  <cp:revision>3</cp:revision>
  <dcterms:created xsi:type="dcterms:W3CDTF">2018-08-29T11:04:00Z</dcterms:created>
  <dcterms:modified xsi:type="dcterms:W3CDTF">2018-08-30T15:03:00Z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0x0101002B9EC83A3F498543929A83DCF95C0A5E</vt:lpwstr>
  </property>
</Properties>
</file>