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C0" w:rsidRPr="00C632C0" w:rsidRDefault="00C632C0">
      <w:pPr>
        <w:rPr>
          <w:b/>
        </w:rPr>
      </w:pPr>
      <w:r w:rsidRPr="00C632C0">
        <w:rPr>
          <w:b/>
        </w:rPr>
        <w:t>Appendix 14</w:t>
      </w:r>
      <w:bookmarkStart w:id="0" w:name="_GoBack"/>
      <w:bookmarkEnd w:id="0"/>
    </w:p>
    <w:p w:rsidR="008F6867" w:rsidRDefault="00235D3E">
      <w:pPr>
        <w:rPr>
          <w:b/>
          <w:u w:val="single"/>
        </w:rPr>
      </w:pPr>
      <w:r w:rsidRPr="00235D3E">
        <w:rPr>
          <w:b/>
          <w:u w:val="single"/>
        </w:rPr>
        <w:t>PR14 and PR19 customer engagement comparison</w:t>
      </w:r>
    </w:p>
    <w:p w:rsidR="006F2174" w:rsidRDefault="006F2174" w:rsidP="009924CA">
      <w:pPr>
        <w:pStyle w:val="ListParagraph"/>
        <w:ind w:left="0"/>
      </w:pPr>
      <w:r w:rsidRPr="006F2174">
        <w:t xml:space="preserve">This document </w:t>
      </w:r>
      <w:r>
        <w:t xml:space="preserve">aims to evidence the differences between the customer engagement processes for building our Business Plan. </w:t>
      </w:r>
      <w:r w:rsidRPr="00653A4B">
        <w:t>Our customer engagement in PR19 has been a step change from PR14</w:t>
      </w:r>
      <w:r>
        <w:t xml:space="preserve"> and this was noted in the Board meeting attended by Peter Davies on the 6</w:t>
      </w:r>
      <w:r w:rsidRPr="002C5272">
        <w:rPr>
          <w:vertAlign w:val="superscript"/>
        </w:rPr>
        <w:t>th</w:t>
      </w:r>
      <w:r>
        <w:t xml:space="preserve"> of June 2018. Our programme</w:t>
      </w:r>
      <w:r w:rsidRPr="00653A4B">
        <w:t xml:space="preserve"> was aimed at running an am</w:t>
      </w:r>
      <w:r>
        <w:t>bitious</w:t>
      </w:r>
      <w:r w:rsidRPr="00653A4B">
        <w:t xml:space="preserve"> and innovative programme of customer engagement to help provide the basis for a successful PR19 Business Plan submission.</w:t>
      </w:r>
      <w:r>
        <w:t xml:space="preserve">  </w:t>
      </w:r>
    </w:p>
    <w:p w:rsidR="009924CA" w:rsidRPr="006F2174" w:rsidRDefault="006F2174">
      <w:r>
        <w:t>There are some direct comparisons we can draw which are set out in Table 1 below. However, due to the scale of our work in PR19 there are also a number of new methodologies or initiatives which cannot be directly</w:t>
      </w:r>
      <w:r w:rsidR="009924CA">
        <w:t xml:space="preserve"> compared. These are set out in section 2. </w:t>
      </w:r>
    </w:p>
    <w:p w:rsidR="00235D3E" w:rsidRDefault="006F2174" w:rsidP="009924CA">
      <w:pPr>
        <w:pStyle w:val="ListParagraph"/>
        <w:numPr>
          <w:ilvl w:val="0"/>
          <w:numId w:val="7"/>
        </w:numPr>
        <w:rPr>
          <w:b/>
          <w:u w:val="single"/>
        </w:rPr>
      </w:pPr>
      <w:r w:rsidRPr="009924CA">
        <w:rPr>
          <w:b/>
          <w:u w:val="single"/>
        </w:rPr>
        <w:t>Direct comparisons</w:t>
      </w:r>
    </w:p>
    <w:p w:rsidR="009924CA" w:rsidRDefault="009924CA" w:rsidP="009924CA">
      <w:pPr>
        <w:pStyle w:val="ListParagraph"/>
        <w:rPr>
          <w:b/>
          <w:u w:val="single"/>
        </w:rPr>
      </w:pPr>
    </w:p>
    <w:p w:rsidR="009924CA" w:rsidRPr="009924CA" w:rsidRDefault="009924CA" w:rsidP="009924CA">
      <w:pPr>
        <w:pStyle w:val="ListParagraph"/>
      </w:pPr>
      <w:r w:rsidRPr="009924CA">
        <w:t xml:space="preserve">Table 1. </w:t>
      </w:r>
    </w:p>
    <w:tbl>
      <w:tblPr>
        <w:tblStyle w:val="TableGrid"/>
        <w:tblW w:w="0" w:type="auto"/>
        <w:tblLook w:val="04A0" w:firstRow="1" w:lastRow="0" w:firstColumn="1" w:lastColumn="0" w:noHBand="0" w:noVBand="1"/>
      </w:tblPr>
      <w:tblGrid>
        <w:gridCol w:w="4508"/>
        <w:gridCol w:w="4508"/>
      </w:tblGrid>
      <w:tr w:rsidR="00235D3E" w:rsidTr="00235D3E">
        <w:tc>
          <w:tcPr>
            <w:tcW w:w="4508" w:type="dxa"/>
            <w:shd w:val="clear" w:color="auto" w:fill="BDD6EE" w:themeFill="accent1" w:themeFillTint="66"/>
          </w:tcPr>
          <w:p w:rsidR="00235D3E" w:rsidRPr="00235D3E" w:rsidRDefault="00235D3E" w:rsidP="00235D3E">
            <w:pPr>
              <w:jc w:val="center"/>
              <w:rPr>
                <w:b/>
              </w:rPr>
            </w:pPr>
            <w:r w:rsidRPr="00235D3E">
              <w:rPr>
                <w:b/>
              </w:rPr>
              <w:t>PR14</w:t>
            </w:r>
          </w:p>
        </w:tc>
        <w:tc>
          <w:tcPr>
            <w:tcW w:w="4508" w:type="dxa"/>
            <w:shd w:val="clear" w:color="auto" w:fill="BDD6EE" w:themeFill="accent1" w:themeFillTint="66"/>
          </w:tcPr>
          <w:p w:rsidR="00235D3E" w:rsidRPr="00235D3E" w:rsidRDefault="00235D3E" w:rsidP="00235D3E">
            <w:pPr>
              <w:jc w:val="center"/>
              <w:rPr>
                <w:b/>
              </w:rPr>
            </w:pPr>
            <w:r w:rsidRPr="00235D3E">
              <w:rPr>
                <w:b/>
              </w:rPr>
              <w:t>PR19</w:t>
            </w:r>
          </w:p>
        </w:tc>
      </w:tr>
      <w:tr w:rsidR="00235D3E" w:rsidTr="00235D3E">
        <w:tc>
          <w:tcPr>
            <w:tcW w:w="4508" w:type="dxa"/>
          </w:tcPr>
          <w:p w:rsidR="00235D3E" w:rsidRDefault="009A516E">
            <w:r>
              <w:t xml:space="preserve">One </w:t>
            </w:r>
            <w:r w:rsidRPr="00046E34">
              <w:t>market research c</w:t>
            </w:r>
            <w:r>
              <w:t>ompany, Accent</w:t>
            </w:r>
            <w:r w:rsidR="00D1200E">
              <w:t>.</w:t>
            </w:r>
          </w:p>
        </w:tc>
        <w:tc>
          <w:tcPr>
            <w:tcW w:w="4508" w:type="dxa"/>
          </w:tcPr>
          <w:p w:rsidR="00235D3E" w:rsidRDefault="009A516E">
            <w:r>
              <w:t xml:space="preserve">Three agencies with differing specialties </w:t>
            </w:r>
            <w:r w:rsidR="0086228C">
              <w:t xml:space="preserve">(Accent Willingness to Pay, Blue Marble and DJS Qualitative) </w:t>
            </w:r>
            <w:r>
              <w:t>in order to conduct a wide range of methodologies and have the capacity to engage with more customers, Accent, DJS and Blue Marble</w:t>
            </w:r>
          </w:p>
        </w:tc>
      </w:tr>
      <w:tr w:rsidR="00235D3E" w:rsidTr="00235D3E">
        <w:tc>
          <w:tcPr>
            <w:tcW w:w="4508" w:type="dxa"/>
          </w:tcPr>
          <w:p w:rsidR="00235D3E" w:rsidRDefault="009A516E">
            <w:r w:rsidRPr="00046E34">
              <w:t>Over 3,000 customers were involved in the formal research</w:t>
            </w:r>
          </w:p>
        </w:tc>
        <w:tc>
          <w:tcPr>
            <w:tcW w:w="4508" w:type="dxa"/>
          </w:tcPr>
          <w:p w:rsidR="00235D3E" w:rsidRDefault="00211462" w:rsidP="00A56F72">
            <w:r>
              <w:t>Over 9,000</w:t>
            </w:r>
            <w:r w:rsidR="009A516E">
              <w:t xml:space="preserve"> customer</w:t>
            </w:r>
            <w:r w:rsidR="00351D4C">
              <w:t>s</w:t>
            </w:r>
            <w:r w:rsidR="009A516E">
              <w:t xml:space="preserve"> take part in formal research</w:t>
            </w:r>
          </w:p>
        </w:tc>
      </w:tr>
      <w:tr w:rsidR="00235D3E" w:rsidTr="00235D3E">
        <w:tc>
          <w:tcPr>
            <w:tcW w:w="4508" w:type="dxa"/>
          </w:tcPr>
          <w:p w:rsidR="00235D3E" w:rsidRDefault="00D1200E" w:rsidP="009A516E">
            <w:r>
              <w:t xml:space="preserve">Draft plan was created and consulted on with customers and stakeholders before a re-draft. Re-draft was then also subject to further customer research. </w:t>
            </w:r>
          </w:p>
        </w:tc>
        <w:tc>
          <w:tcPr>
            <w:tcW w:w="4508" w:type="dxa"/>
          </w:tcPr>
          <w:p w:rsidR="00235D3E" w:rsidRDefault="00D1200E" w:rsidP="00D1200E">
            <w:pPr>
              <w:pStyle w:val="CommentText"/>
            </w:pPr>
            <w:r w:rsidRPr="00D1200E">
              <w:rPr>
                <w:rFonts w:asciiTheme="minorHAnsi" w:eastAsiaTheme="minorHAnsi" w:hAnsiTheme="minorHAnsi" w:cstheme="minorBidi"/>
                <w:sz w:val="22"/>
                <w:szCs w:val="22"/>
                <w:lang w:eastAsia="en-US"/>
              </w:rPr>
              <w:t>In PR19 our customer priorities were identified at key stages using our framework process and triangulation methodologies. This has given us a much broader view of what our customer want us to improve using not just willingness to pay but drawing from a multitude of other sources such as ongoing data, industry data, performance targets research etc.</w:t>
            </w:r>
          </w:p>
        </w:tc>
      </w:tr>
      <w:tr w:rsidR="00235D3E" w:rsidTr="00235D3E">
        <w:tc>
          <w:tcPr>
            <w:tcW w:w="4508" w:type="dxa"/>
          </w:tcPr>
          <w:p w:rsidR="00235D3E" w:rsidRDefault="004F6FDF" w:rsidP="00D1200E">
            <w:pPr>
              <w:spacing w:after="240"/>
            </w:pPr>
            <w:r>
              <w:t>Scores in PR14</w:t>
            </w:r>
          </w:p>
          <w:p w:rsidR="004F6FDF" w:rsidRPr="004F6FDF" w:rsidRDefault="004F6FDF" w:rsidP="004F6FDF">
            <w:pPr>
              <w:pStyle w:val="bullet2"/>
              <w:jc w:val="left"/>
              <w:rPr>
                <w:rFonts w:asciiTheme="minorHAnsi" w:eastAsiaTheme="minorHAnsi" w:hAnsiTheme="minorHAnsi" w:cstheme="minorBidi"/>
                <w:b/>
                <w:sz w:val="22"/>
                <w:szCs w:val="22"/>
              </w:rPr>
            </w:pPr>
            <w:r>
              <w:rPr>
                <w:rFonts w:asciiTheme="minorHAnsi" w:eastAsiaTheme="minorHAnsi" w:hAnsiTheme="minorHAnsi" w:cstheme="minorBidi"/>
                <w:sz w:val="22"/>
                <w:szCs w:val="22"/>
              </w:rPr>
              <w:t xml:space="preserve">Uninformed </w:t>
            </w:r>
            <w:r w:rsidRPr="004F6FDF">
              <w:rPr>
                <w:rFonts w:asciiTheme="minorHAnsi" w:eastAsiaTheme="minorHAnsi" w:hAnsiTheme="minorHAnsi" w:cstheme="minorBidi"/>
                <w:sz w:val="22"/>
                <w:szCs w:val="22"/>
              </w:rPr>
              <w:t>acceptability of the consultation plan (</w:t>
            </w:r>
            <w:r w:rsidR="007A4BAF" w:rsidRPr="004F6FDF">
              <w:rPr>
                <w:rFonts w:asciiTheme="minorHAnsi" w:eastAsiaTheme="minorHAnsi" w:hAnsiTheme="minorHAnsi" w:cstheme="minorBidi"/>
                <w:sz w:val="22"/>
                <w:szCs w:val="22"/>
              </w:rPr>
              <w:t>i.e.</w:t>
            </w:r>
            <w:r w:rsidRPr="004F6FDF">
              <w:rPr>
                <w:rFonts w:asciiTheme="minorHAnsi" w:eastAsiaTheme="minorHAnsi" w:hAnsiTheme="minorHAnsi" w:cstheme="minorBidi"/>
                <w:sz w:val="22"/>
                <w:szCs w:val="22"/>
              </w:rPr>
              <w:t xml:space="preserve"> where only very brief details were given and no context was set) was </w:t>
            </w:r>
            <w:r w:rsidRPr="004F6FDF">
              <w:rPr>
                <w:rFonts w:asciiTheme="minorHAnsi" w:eastAsiaTheme="minorHAnsi" w:hAnsiTheme="minorHAnsi" w:cstheme="minorBidi"/>
                <w:b/>
                <w:sz w:val="22"/>
                <w:szCs w:val="22"/>
              </w:rPr>
              <w:t>50% for households and 59% for businesses.</w:t>
            </w:r>
          </w:p>
          <w:p w:rsidR="004F6FDF" w:rsidRDefault="004F6FDF" w:rsidP="004F6FDF">
            <w:pPr>
              <w:pStyle w:val="bullet2"/>
              <w:jc w:val="left"/>
              <w:rPr>
                <w:rFonts w:asciiTheme="minorHAnsi" w:eastAsiaTheme="minorHAnsi" w:hAnsiTheme="minorHAnsi" w:cstheme="minorBidi"/>
                <w:sz w:val="22"/>
                <w:szCs w:val="22"/>
              </w:rPr>
            </w:pPr>
            <w:r w:rsidRPr="004F6FDF">
              <w:rPr>
                <w:rFonts w:asciiTheme="minorHAnsi" w:eastAsiaTheme="minorHAnsi" w:hAnsiTheme="minorHAnsi" w:cstheme="minorBidi"/>
                <w:sz w:val="22"/>
                <w:szCs w:val="22"/>
              </w:rPr>
              <w:t xml:space="preserve">However, </w:t>
            </w:r>
            <w:r w:rsidRPr="004F6FDF">
              <w:rPr>
                <w:rFonts w:asciiTheme="minorHAnsi" w:eastAsiaTheme="minorHAnsi" w:hAnsiTheme="minorHAnsi" w:cstheme="minorBidi"/>
                <w:b/>
                <w:sz w:val="22"/>
                <w:szCs w:val="22"/>
              </w:rPr>
              <w:t>80% of household customers and 83% of businesses</w:t>
            </w:r>
            <w:r w:rsidRPr="004F6FDF">
              <w:rPr>
                <w:rFonts w:asciiTheme="minorHAnsi" w:eastAsiaTheme="minorHAnsi" w:hAnsiTheme="minorHAnsi" w:cstheme="minorBidi"/>
                <w:sz w:val="22"/>
                <w:szCs w:val="22"/>
              </w:rPr>
              <w:t xml:space="preserve"> found the consultation plan acceptable after being presented with full details. </w:t>
            </w:r>
          </w:p>
          <w:p w:rsidR="004F6FDF" w:rsidRPr="004F6FDF" w:rsidRDefault="004F6FDF" w:rsidP="004F6FDF">
            <w:pPr>
              <w:pStyle w:val="bullet2"/>
              <w:jc w:val="left"/>
              <w:rPr>
                <w:rFonts w:asciiTheme="minorHAnsi" w:eastAsiaTheme="minorHAnsi" w:hAnsiTheme="minorHAnsi" w:cstheme="minorBidi"/>
                <w:sz w:val="22"/>
                <w:szCs w:val="22"/>
              </w:rPr>
            </w:pPr>
            <w:r w:rsidRPr="004F6FDF">
              <w:rPr>
                <w:rFonts w:asciiTheme="minorHAnsi" w:eastAsiaTheme="minorHAnsi" w:hAnsiTheme="minorHAnsi" w:cstheme="minorBidi"/>
                <w:sz w:val="22"/>
                <w:szCs w:val="22"/>
              </w:rPr>
              <w:t>Presented with the revised plan</w:t>
            </w:r>
            <w:r>
              <w:rPr>
                <w:rFonts w:asciiTheme="minorHAnsi" w:eastAsiaTheme="minorHAnsi" w:hAnsiTheme="minorHAnsi" w:cstheme="minorBidi"/>
                <w:sz w:val="22"/>
                <w:szCs w:val="22"/>
              </w:rPr>
              <w:t xml:space="preserve"> (</w:t>
            </w:r>
            <w:r w:rsidR="007A4BAF" w:rsidRPr="004F6FDF">
              <w:rPr>
                <w:rFonts w:asciiTheme="minorHAnsi" w:eastAsiaTheme="minorHAnsi" w:hAnsiTheme="minorHAnsi" w:cstheme="minorBidi"/>
                <w:sz w:val="22"/>
                <w:szCs w:val="22"/>
              </w:rPr>
              <w:t>i.e.</w:t>
            </w:r>
            <w:r w:rsidRPr="004F6FDF">
              <w:rPr>
                <w:rFonts w:asciiTheme="minorHAnsi" w:eastAsiaTheme="minorHAnsi" w:hAnsiTheme="minorHAnsi" w:cstheme="minorBidi"/>
                <w:sz w:val="22"/>
                <w:szCs w:val="22"/>
              </w:rPr>
              <w:t xml:space="preserve"> exactly the same set of improvements as the consultation plan, but with no £13 increase in their bill in 2015 to pay for the transfer of private sewers to Welsh Water, and a bill which would, in fact, be reduced by 3% in </w:t>
            </w:r>
            <w:r w:rsidRPr="004F6FDF">
              <w:rPr>
                <w:rFonts w:asciiTheme="minorHAnsi" w:eastAsiaTheme="minorHAnsi" w:hAnsiTheme="minorHAnsi" w:cstheme="minorBidi"/>
                <w:sz w:val="22"/>
                <w:szCs w:val="22"/>
              </w:rPr>
              <w:lastRenderedPageBreak/>
              <w:t>real terms between 2015 and</w:t>
            </w:r>
            <w:r>
              <w:rPr>
                <w:rFonts w:asciiTheme="minorHAnsi" w:eastAsiaTheme="minorHAnsi" w:hAnsiTheme="minorHAnsi" w:cstheme="minorBidi"/>
                <w:sz w:val="22"/>
                <w:szCs w:val="22"/>
              </w:rPr>
              <w:t xml:space="preserve"> 2020,</w:t>
            </w:r>
            <w:r w:rsidRPr="004F6FDF">
              <w:rPr>
                <w:rFonts w:asciiTheme="minorHAnsi" w:eastAsiaTheme="minorHAnsi" w:hAnsiTheme="minorHAnsi" w:cstheme="minorBidi"/>
                <w:sz w:val="22"/>
                <w:szCs w:val="22"/>
              </w:rPr>
              <w:t xml:space="preserve"> before any increases due </w:t>
            </w:r>
            <w:r>
              <w:rPr>
                <w:rFonts w:asciiTheme="minorHAnsi" w:eastAsiaTheme="minorHAnsi" w:hAnsiTheme="minorHAnsi" w:cstheme="minorBidi"/>
                <w:sz w:val="22"/>
                <w:szCs w:val="22"/>
              </w:rPr>
              <w:t>to general inflation were added)</w:t>
            </w:r>
            <w:r w:rsidRPr="004F6FDF">
              <w:rPr>
                <w:rFonts w:asciiTheme="minorHAnsi" w:eastAsiaTheme="minorHAnsi" w:hAnsiTheme="minorHAnsi" w:cstheme="minorBidi"/>
                <w:sz w:val="22"/>
                <w:szCs w:val="22"/>
              </w:rPr>
              <w:t xml:space="preserve"> Informed acceptability of the revised plan was </w:t>
            </w:r>
            <w:r w:rsidRPr="004F6FDF">
              <w:rPr>
                <w:rFonts w:asciiTheme="minorHAnsi" w:eastAsiaTheme="minorHAnsi" w:hAnsiTheme="minorHAnsi" w:cstheme="minorBidi"/>
                <w:b/>
                <w:sz w:val="22"/>
                <w:szCs w:val="22"/>
              </w:rPr>
              <w:t>94% amongst household respondents and 95% amongst business respondents.</w:t>
            </w:r>
          </w:p>
        </w:tc>
        <w:tc>
          <w:tcPr>
            <w:tcW w:w="4508" w:type="dxa"/>
          </w:tcPr>
          <w:p w:rsidR="004F6FDF" w:rsidRDefault="004F6FDF" w:rsidP="00D1200E">
            <w:pPr>
              <w:pStyle w:val="CommentTex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Scores in PR19</w:t>
            </w:r>
          </w:p>
          <w:p w:rsidR="004F6FDF" w:rsidRDefault="004F6FDF" w:rsidP="004F6FDF">
            <w:pPr>
              <w:pStyle w:val="CommentText"/>
              <w:numPr>
                <w:ilvl w:val="0"/>
                <w:numId w:val="9"/>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80% of uninformed customers found the plan acceptable (79% HH and 84% NHH). </w:t>
            </w:r>
          </w:p>
          <w:p w:rsidR="00D1200E" w:rsidRPr="00D1200E" w:rsidRDefault="00D1200E" w:rsidP="004F6FDF">
            <w:pPr>
              <w:pStyle w:val="CommentText"/>
              <w:numPr>
                <w:ilvl w:val="0"/>
                <w:numId w:val="9"/>
              </w:numPr>
              <w:rPr>
                <w:rFonts w:asciiTheme="minorHAnsi" w:eastAsiaTheme="minorHAnsi" w:hAnsiTheme="minorHAnsi" w:cstheme="minorBidi"/>
                <w:sz w:val="22"/>
                <w:szCs w:val="22"/>
                <w:lang w:eastAsia="en-US"/>
              </w:rPr>
            </w:pPr>
            <w:r w:rsidRPr="00D1200E">
              <w:rPr>
                <w:rFonts w:asciiTheme="minorHAnsi" w:eastAsiaTheme="minorHAnsi" w:hAnsiTheme="minorHAnsi" w:cstheme="minorBidi"/>
                <w:sz w:val="22"/>
                <w:szCs w:val="22"/>
                <w:lang w:eastAsia="en-US"/>
              </w:rPr>
              <w:t xml:space="preserve">92% of informed customers found the plan acceptable </w:t>
            </w:r>
            <w:r w:rsidR="004F6FDF">
              <w:rPr>
                <w:rFonts w:asciiTheme="minorHAnsi" w:eastAsiaTheme="minorHAnsi" w:hAnsiTheme="minorHAnsi" w:cstheme="minorBidi"/>
                <w:sz w:val="22"/>
                <w:szCs w:val="22"/>
                <w:lang w:eastAsia="en-US"/>
              </w:rPr>
              <w:t xml:space="preserve">(93% HH and 88% NHH). </w:t>
            </w:r>
          </w:p>
          <w:p w:rsidR="00235D3E" w:rsidRDefault="00D1200E" w:rsidP="00D1200E">
            <w:r>
              <w:t>We did not in PR19 go out to customers with a revised plan.</w:t>
            </w:r>
            <w:r w:rsidR="0086228C">
              <w:t xml:space="preserve"> The methodologies use in both surveys are also different meaning we cannot draw direct comparison of the results. </w:t>
            </w:r>
          </w:p>
        </w:tc>
      </w:tr>
      <w:tr w:rsidR="00235D3E" w:rsidTr="00235D3E">
        <w:tc>
          <w:tcPr>
            <w:tcW w:w="4508" w:type="dxa"/>
          </w:tcPr>
          <w:p w:rsidR="00D1200E" w:rsidRPr="00046E34" w:rsidRDefault="00D1200E" w:rsidP="00D1200E">
            <w:pPr>
              <w:rPr>
                <w:b/>
                <w:color w:val="44546A" w:themeColor="text2"/>
              </w:rPr>
            </w:pPr>
            <w:r>
              <w:t>T</w:t>
            </w:r>
            <w:r w:rsidRPr="00046E34">
              <w:t>raditional programme of customer research using focus groups and qualitative and quantitative techniques was undertaken to ensure views were captured from a representative sample of the company’s customer base.</w:t>
            </w:r>
            <w:r w:rsidR="00310D9D">
              <w:t xml:space="preserve"> </w:t>
            </w:r>
            <w:r w:rsidRPr="00046E34">
              <w:t>The specific activities are listed below:</w:t>
            </w:r>
          </w:p>
          <w:p w:rsidR="00D1200E" w:rsidRPr="00046E34" w:rsidRDefault="00D1200E" w:rsidP="00D1200E">
            <w:pPr>
              <w:pStyle w:val="ListParagraph"/>
              <w:numPr>
                <w:ilvl w:val="0"/>
                <w:numId w:val="1"/>
              </w:numPr>
              <w:spacing w:after="200" w:line="276" w:lineRule="auto"/>
              <w:ind w:left="1134" w:hanging="425"/>
              <w:contextualSpacing/>
              <w:rPr>
                <w:rFonts w:asciiTheme="minorHAnsi" w:hAnsiTheme="minorHAnsi"/>
                <w:b/>
              </w:rPr>
            </w:pPr>
            <w:r w:rsidRPr="00046E34">
              <w:rPr>
                <w:rFonts w:asciiTheme="minorHAnsi" w:hAnsiTheme="minorHAnsi"/>
              </w:rPr>
              <w:t>42 deliberative focus groups covering willingness to pay, our sustainable future, water resources, environmental issues, consultation plan acceptability</w:t>
            </w:r>
          </w:p>
          <w:p w:rsidR="00D1200E" w:rsidRPr="00046E34" w:rsidRDefault="00D1200E" w:rsidP="00D1200E">
            <w:pPr>
              <w:pStyle w:val="ListParagraph"/>
              <w:numPr>
                <w:ilvl w:val="0"/>
                <w:numId w:val="1"/>
              </w:numPr>
              <w:spacing w:after="200" w:line="276" w:lineRule="auto"/>
              <w:ind w:left="1134" w:hanging="425"/>
              <w:contextualSpacing/>
              <w:rPr>
                <w:rFonts w:asciiTheme="minorHAnsi" w:hAnsiTheme="minorHAnsi"/>
                <w:b/>
              </w:rPr>
            </w:pPr>
            <w:r w:rsidRPr="00046E34">
              <w:rPr>
                <w:rFonts w:asciiTheme="minorHAnsi" w:hAnsiTheme="minorHAnsi"/>
              </w:rPr>
              <w:t>2 focus groups in Dee Valley Water to cover our waste only service</w:t>
            </w:r>
          </w:p>
          <w:p w:rsidR="00D1200E" w:rsidRPr="00046E34" w:rsidRDefault="00D1200E" w:rsidP="00D1200E">
            <w:pPr>
              <w:pStyle w:val="ListParagraph"/>
              <w:numPr>
                <w:ilvl w:val="0"/>
                <w:numId w:val="1"/>
              </w:numPr>
              <w:spacing w:after="200" w:line="276" w:lineRule="auto"/>
              <w:ind w:left="1134" w:hanging="425"/>
              <w:contextualSpacing/>
              <w:rPr>
                <w:rFonts w:asciiTheme="minorHAnsi" w:hAnsiTheme="minorHAnsi"/>
                <w:b/>
              </w:rPr>
            </w:pPr>
            <w:r w:rsidRPr="00046E34">
              <w:rPr>
                <w:rFonts w:asciiTheme="minorHAnsi" w:hAnsiTheme="minorHAnsi"/>
              </w:rPr>
              <w:t>2,550 phone-post/email-phone(PpP) willingness to pay interviews</w:t>
            </w:r>
          </w:p>
          <w:p w:rsidR="00235D3E" w:rsidRPr="00D1200E" w:rsidRDefault="00D1200E" w:rsidP="00D1200E">
            <w:pPr>
              <w:pStyle w:val="ListParagraph"/>
              <w:numPr>
                <w:ilvl w:val="0"/>
                <w:numId w:val="1"/>
              </w:numPr>
              <w:spacing w:after="200" w:line="276" w:lineRule="auto"/>
              <w:ind w:left="1134" w:hanging="425"/>
              <w:contextualSpacing/>
              <w:rPr>
                <w:rFonts w:asciiTheme="minorHAnsi" w:hAnsiTheme="minorHAnsi"/>
                <w:b/>
              </w:rPr>
            </w:pPr>
            <w:r w:rsidRPr="00046E34">
              <w:rPr>
                <w:rFonts w:asciiTheme="minorHAnsi" w:hAnsiTheme="minorHAnsi"/>
              </w:rPr>
              <w:t>1,400 PpP consultation plan acceptability interviews</w:t>
            </w:r>
          </w:p>
        </w:tc>
        <w:tc>
          <w:tcPr>
            <w:tcW w:w="4508" w:type="dxa"/>
          </w:tcPr>
          <w:p w:rsidR="00D1200E" w:rsidRPr="00D1200E" w:rsidRDefault="00D1200E" w:rsidP="00D1200E">
            <w:r w:rsidRPr="00196DAC">
              <w:t xml:space="preserve">The total number of customers reached 41,344. This is made up of: </w:t>
            </w:r>
          </w:p>
          <w:p w:rsidR="00D1200E" w:rsidRPr="00196DAC" w:rsidRDefault="00D1200E" w:rsidP="00D1200E">
            <w:pPr>
              <w:numPr>
                <w:ilvl w:val="0"/>
                <w:numId w:val="3"/>
              </w:numPr>
              <w:rPr>
                <w:rFonts w:eastAsia="Calibri"/>
              </w:rPr>
            </w:pPr>
            <w:r w:rsidRPr="00196DAC">
              <w:rPr>
                <w:rFonts w:eastAsia="Calibri"/>
              </w:rPr>
              <w:t>HH 1-2-1 interviews (In h</w:t>
            </w:r>
            <w:r w:rsidR="00211462">
              <w:rPr>
                <w:rFonts w:eastAsia="Calibri"/>
              </w:rPr>
              <w:t>ome and on the telephone): 1,993</w:t>
            </w:r>
          </w:p>
          <w:p w:rsidR="00D1200E" w:rsidRPr="00196DAC" w:rsidRDefault="00211462" w:rsidP="00D1200E">
            <w:pPr>
              <w:numPr>
                <w:ilvl w:val="0"/>
                <w:numId w:val="3"/>
              </w:numPr>
              <w:rPr>
                <w:rFonts w:eastAsia="Calibri"/>
              </w:rPr>
            </w:pPr>
            <w:r>
              <w:rPr>
                <w:rFonts w:eastAsia="Calibri"/>
              </w:rPr>
              <w:t>HH focus group attendees: 1003</w:t>
            </w:r>
          </w:p>
          <w:p w:rsidR="00D1200E" w:rsidRPr="00196DAC" w:rsidRDefault="00211462" w:rsidP="00D1200E">
            <w:pPr>
              <w:numPr>
                <w:ilvl w:val="0"/>
                <w:numId w:val="3"/>
              </w:numPr>
              <w:rPr>
                <w:rFonts w:eastAsia="Calibri"/>
              </w:rPr>
            </w:pPr>
            <w:r>
              <w:rPr>
                <w:rFonts w:eastAsia="Calibri"/>
              </w:rPr>
              <w:t>NHH focus group attendees: 144</w:t>
            </w:r>
          </w:p>
          <w:p w:rsidR="00D1200E" w:rsidRPr="00196DAC" w:rsidRDefault="00211462" w:rsidP="00D1200E">
            <w:pPr>
              <w:numPr>
                <w:ilvl w:val="0"/>
                <w:numId w:val="3"/>
              </w:numPr>
              <w:rPr>
                <w:rFonts w:eastAsia="Calibri"/>
              </w:rPr>
            </w:pPr>
            <w:r>
              <w:rPr>
                <w:rFonts w:eastAsia="Calibri"/>
              </w:rPr>
              <w:t>NHH 1-2-1 interviews: 919</w:t>
            </w:r>
          </w:p>
          <w:p w:rsidR="00D1200E" w:rsidRPr="00196DAC" w:rsidRDefault="00211462" w:rsidP="00D1200E">
            <w:pPr>
              <w:numPr>
                <w:ilvl w:val="0"/>
                <w:numId w:val="3"/>
              </w:numPr>
              <w:rPr>
                <w:rFonts w:eastAsia="Calibri"/>
              </w:rPr>
            </w:pPr>
            <w:r>
              <w:rPr>
                <w:rFonts w:eastAsia="Calibri"/>
              </w:rPr>
              <w:t>Mass campaigns ROV &amp; HYS: 32,032</w:t>
            </w:r>
          </w:p>
          <w:p w:rsidR="00D1200E" w:rsidRPr="00196DAC" w:rsidRDefault="00D1200E" w:rsidP="00D1200E">
            <w:pPr>
              <w:numPr>
                <w:ilvl w:val="1"/>
                <w:numId w:val="3"/>
              </w:numPr>
              <w:rPr>
                <w:rFonts w:eastAsia="Calibri"/>
              </w:rPr>
            </w:pPr>
            <w:r w:rsidRPr="00196DAC">
              <w:rPr>
                <w:rFonts w:eastAsia="Calibri"/>
              </w:rPr>
              <w:t>ROV 2016: 12,052</w:t>
            </w:r>
          </w:p>
          <w:p w:rsidR="00D1200E" w:rsidRPr="00196DAC" w:rsidRDefault="00211462" w:rsidP="00D1200E">
            <w:pPr>
              <w:numPr>
                <w:ilvl w:val="1"/>
                <w:numId w:val="3"/>
              </w:numPr>
              <w:rPr>
                <w:rFonts w:eastAsia="Calibri"/>
              </w:rPr>
            </w:pPr>
            <w:r>
              <w:rPr>
                <w:rFonts w:eastAsia="Calibri"/>
              </w:rPr>
              <w:t>HYS 2017: 19,982</w:t>
            </w:r>
          </w:p>
          <w:p w:rsidR="00D1200E" w:rsidRPr="00196DAC" w:rsidRDefault="00D1200E" w:rsidP="00D1200E">
            <w:pPr>
              <w:numPr>
                <w:ilvl w:val="0"/>
                <w:numId w:val="3"/>
              </w:numPr>
              <w:rPr>
                <w:rFonts w:eastAsia="Calibri"/>
              </w:rPr>
            </w:pPr>
            <w:r w:rsidRPr="00196DAC">
              <w:rPr>
                <w:rFonts w:eastAsia="Calibri"/>
              </w:rPr>
              <w:t>Vulnerable custo</w:t>
            </w:r>
            <w:r w:rsidR="00211462">
              <w:rPr>
                <w:rFonts w:eastAsia="Calibri"/>
              </w:rPr>
              <w:t>mer focus group participants: 64</w:t>
            </w:r>
          </w:p>
          <w:p w:rsidR="00D1200E" w:rsidRPr="00196DAC" w:rsidRDefault="00D1200E" w:rsidP="00D1200E">
            <w:pPr>
              <w:numPr>
                <w:ilvl w:val="0"/>
                <w:numId w:val="3"/>
              </w:numPr>
              <w:rPr>
                <w:rFonts w:eastAsia="Calibri"/>
              </w:rPr>
            </w:pPr>
            <w:r w:rsidRPr="00196DAC">
              <w:rPr>
                <w:rFonts w:eastAsia="Calibri"/>
              </w:rPr>
              <w:t>Vulnerab</w:t>
            </w:r>
            <w:r w:rsidR="00211462">
              <w:rPr>
                <w:rFonts w:eastAsia="Calibri"/>
              </w:rPr>
              <w:t>le customer 1-2-1 interviews (inc. assisted community Hub surveys): 228</w:t>
            </w:r>
          </w:p>
          <w:p w:rsidR="00D1200E" w:rsidRPr="00196DAC" w:rsidRDefault="00D1200E" w:rsidP="00D1200E">
            <w:pPr>
              <w:numPr>
                <w:ilvl w:val="0"/>
                <w:numId w:val="3"/>
              </w:numPr>
              <w:rPr>
                <w:rFonts w:eastAsia="Calibri"/>
              </w:rPr>
            </w:pPr>
            <w:r w:rsidRPr="00196DAC">
              <w:rPr>
                <w:rFonts w:eastAsia="Calibri"/>
              </w:rPr>
              <w:t>Stakeholder interviews: 27</w:t>
            </w:r>
          </w:p>
          <w:p w:rsidR="00235D3E" w:rsidRPr="00211462" w:rsidRDefault="00D1200E" w:rsidP="00D1200E">
            <w:pPr>
              <w:pStyle w:val="ListParagraph"/>
              <w:numPr>
                <w:ilvl w:val="0"/>
                <w:numId w:val="3"/>
              </w:numPr>
            </w:pPr>
            <w:r>
              <w:rPr>
                <w:rFonts w:eastAsia="Calibri"/>
              </w:rPr>
              <w:t>Future customer interviews: 175</w:t>
            </w:r>
          </w:p>
          <w:p w:rsidR="00211462" w:rsidRPr="00211462" w:rsidRDefault="00211462" w:rsidP="00D1200E">
            <w:pPr>
              <w:pStyle w:val="ListParagraph"/>
              <w:numPr>
                <w:ilvl w:val="0"/>
                <w:numId w:val="3"/>
              </w:numPr>
            </w:pPr>
            <w:r>
              <w:rPr>
                <w:rFonts w:eastAsia="Calibri"/>
              </w:rPr>
              <w:t>Online survey completion (HH and NHH): 4748</w:t>
            </w:r>
          </w:p>
          <w:p w:rsidR="00211462" w:rsidRPr="00D1200E" w:rsidRDefault="00211462" w:rsidP="00211462"/>
        </w:tc>
      </w:tr>
      <w:tr w:rsidR="00235D3E" w:rsidTr="00235D3E">
        <w:tc>
          <w:tcPr>
            <w:tcW w:w="4508" w:type="dxa"/>
          </w:tcPr>
          <w:p w:rsidR="00F33E32" w:rsidRPr="00D1200E" w:rsidRDefault="00F33E32" w:rsidP="00F33E32">
            <w:pPr>
              <w:pStyle w:val="CommentText"/>
              <w:rPr>
                <w:rFonts w:asciiTheme="minorHAnsi" w:eastAsiaTheme="minorHAnsi" w:hAnsiTheme="minorHAnsi"/>
                <w:sz w:val="22"/>
                <w:szCs w:val="22"/>
                <w:lang w:eastAsia="en-US"/>
              </w:rPr>
            </w:pPr>
            <w:r w:rsidRPr="00D1200E">
              <w:rPr>
                <w:rFonts w:asciiTheme="minorHAnsi" w:eastAsiaTheme="minorHAnsi" w:hAnsiTheme="minorHAnsi"/>
                <w:sz w:val="22"/>
                <w:szCs w:val="22"/>
                <w:lang w:eastAsia="en-US"/>
              </w:rPr>
              <w:t xml:space="preserve">PR14 covered the following research topics: </w:t>
            </w:r>
          </w:p>
          <w:p w:rsidR="00F33E32" w:rsidRPr="00D1200E" w:rsidRDefault="00F33E32" w:rsidP="00F33E32">
            <w:pPr>
              <w:pStyle w:val="bullet"/>
              <w:rPr>
                <w:rFonts w:asciiTheme="minorHAnsi" w:eastAsiaTheme="minorHAnsi" w:hAnsiTheme="minorHAnsi"/>
                <w:sz w:val="22"/>
                <w:szCs w:val="22"/>
              </w:rPr>
            </w:pPr>
            <w:r w:rsidRPr="00D1200E">
              <w:rPr>
                <w:rFonts w:asciiTheme="minorHAnsi" w:eastAsiaTheme="minorHAnsi" w:hAnsiTheme="minorHAnsi"/>
                <w:sz w:val="22"/>
                <w:szCs w:val="22"/>
              </w:rPr>
              <w:t>Willingness to Pay (WTP) Stage 1 Research:</w:t>
            </w:r>
            <w:bookmarkStart w:id="1" w:name="endsum"/>
          </w:p>
          <w:p w:rsidR="00F33E32" w:rsidRPr="00D1200E" w:rsidRDefault="00F33E32" w:rsidP="00F33E32">
            <w:pPr>
              <w:pStyle w:val="bullet"/>
              <w:rPr>
                <w:rFonts w:asciiTheme="minorHAnsi" w:eastAsiaTheme="minorHAnsi" w:hAnsiTheme="minorHAnsi"/>
                <w:sz w:val="22"/>
                <w:szCs w:val="22"/>
              </w:rPr>
            </w:pPr>
            <w:r w:rsidRPr="00D1200E">
              <w:rPr>
                <w:rFonts w:asciiTheme="minorHAnsi" w:eastAsiaTheme="minorHAnsi" w:hAnsiTheme="minorHAnsi"/>
                <w:sz w:val="22"/>
                <w:szCs w:val="22"/>
              </w:rPr>
              <w:t>Our Sustainable Future:</w:t>
            </w:r>
          </w:p>
          <w:p w:rsidR="00F33E32" w:rsidRPr="00D1200E" w:rsidRDefault="00F33E32" w:rsidP="00F33E32">
            <w:pPr>
              <w:pStyle w:val="bullet"/>
              <w:rPr>
                <w:rFonts w:asciiTheme="minorHAnsi" w:eastAsiaTheme="minorHAnsi" w:hAnsiTheme="minorHAnsi"/>
                <w:sz w:val="22"/>
                <w:szCs w:val="22"/>
              </w:rPr>
            </w:pPr>
            <w:r w:rsidRPr="00D1200E">
              <w:rPr>
                <w:rFonts w:asciiTheme="minorHAnsi" w:eastAsiaTheme="minorHAnsi" w:hAnsiTheme="minorHAnsi"/>
                <w:sz w:val="22"/>
                <w:szCs w:val="22"/>
              </w:rPr>
              <w:t>Environmental Issues Stage 2 Research:</w:t>
            </w:r>
          </w:p>
          <w:p w:rsidR="00F33E32" w:rsidRPr="00D1200E" w:rsidRDefault="00F33E32" w:rsidP="00F33E32">
            <w:pPr>
              <w:pStyle w:val="bullet"/>
              <w:rPr>
                <w:rFonts w:asciiTheme="minorHAnsi" w:eastAsiaTheme="minorHAnsi" w:hAnsiTheme="minorHAnsi"/>
                <w:sz w:val="22"/>
                <w:szCs w:val="22"/>
              </w:rPr>
            </w:pPr>
            <w:r w:rsidRPr="00D1200E">
              <w:rPr>
                <w:rFonts w:asciiTheme="minorHAnsi" w:eastAsiaTheme="minorHAnsi" w:hAnsiTheme="minorHAnsi"/>
                <w:sz w:val="22"/>
                <w:szCs w:val="22"/>
              </w:rPr>
              <w:t>Water Resources Stage 2 Research</w:t>
            </w:r>
          </w:p>
          <w:p w:rsidR="00F33E32" w:rsidRPr="00D1200E" w:rsidRDefault="00F33E32" w:rsidP="00F33E32">
            <w:pPr>
              <w:pStyle w:val="bullet"/>
              <w:rPr>
                <w:rFonts w:asciiTheme="minorHAnsi" w:eastAsiaTheme="minorHAnsi" w:hAnsiTheme="minorHAnsi"/>
                <w:sz w:val="22"/>
                <w:szCs w:val="22"/>
              </w:rPr>
            </w:pPr>
            <w:r w:rsidRPr="00D1200E">
              <w:rPr>
                <w:rFonts w:asciiTheme="minorHAnsi" w:eastAsiaTheme="minorHAnsi" w:hAnsiTheme="minorHAnsi"/>
                <w:sz w:val="22"/>
                <w:szCs w:val="22"/>
              </w:rPr>
              <w:t>Cross Company Prioritisation:</w:t>
            </w:r>
          </w:p>
          <w:p w:rsidR="00F33E32" w:rsidRPr="00D1200E" w:rsidRDefault="00F33E32" w:rsidP="00F33E32">
            <w:pPr>
              <w:pStyle w:val="bullet"/>
              <w:rPr>
                <w:rFonts w:asciiTheme="minorHAnsi" w:eastAsiaTheme="minorHAnsi" w:hAnsiTheme="minorHAnsi"/>
                <w:sz w:val="22"/>
                <w:szCs w:val="22"/>
              </w:rPr>
            </w:pPr>
            <w:r w:rsidRPr="00D1200E">
              <w:rPr>
                <w:rFonts w:asciiTheme="minorHAnsi" w:eastAsiaTheme="minorHAnsi" w:hAnsiTheme="minorHAnsi"/>
                <w:sz w:val="22"/>
                <w:szCs w:val="22"/>
              </w:rPr>
              <w:t>Customer Services Proposition Research</w:t>
            </w:r>
            <w:bookmarkEnd w:id="1"/>
          </w:p>
          <w:p w:rsidR="00F33E32" w:rsidRPr="00D1200E" w:rsidRDefault="00F33E32" w:rsidP="00F33E32">
            <w:pPr>
              <w:pStyle w:val="bullet"/>
              <w:rPr>
                <w:rFonts w:asciiTheme="minorHAnsi" w:eastAsiaTheme="minorHAnsi" w:hAnsiTheme="minorHAnsi"/>
                <w:sz w:val="22"/>
                <w:szCs w:val="22"/>
              </w:rPr>
            </w:pPr>
            <w:r w:rsidRPr="00D1200E">
              <w:rPr>
                <w:rFonts w:asciiTheme="minorHAnsi" w:eastAsiaTheme="minorHAnsi" w:hAnsiTheme="minorHAnsi"/>
                <w:sz w:val="22"/>
                <w:szCs w:val="22"/>
              </w:rPr>
              <w:t xml:space="preserve">Acceptability of </w:t>
            </w:r>
            <w:r>
              <w:rPr>
                <w:rFonts w:asciiTheme="minorHAnsi" w:eastAsiaTheme="minorHAnsi" w:hAnsiTheme="minorHAnsi"/>
                <w:sz w:val="22"/>
                <w:szCs w:val="22"/>
              </w:rPr>
              <w:t>the Published Consultation Plan</w:t>
            </w:r>
          </w:p>
          <w:p w:rsidR="00F33E32" w:rsidRPr="00D1200E" w:rsidRDefault="00F33E32" w:rsidP="00F33E32">
            <w:pPr>
              <w:pStyle w:val="bullet"/>
              <w:rPr>
                <w:rFonts w:asciiTheme="minorHAnsi" w:eastAsiaTheme="minorHAnsi" w:hAnsiTheme="minorHAnsi"/>
                <w:sz w:val="22"/>
                <w:szCs w:val="22"/>
              </w:rPr>
            </w:pPr>
            <w:r w:rsidRPr="00D1200E">
              <w:rPr>
                <w:rFonts w:asciiTheme="minorHAnsi" w:eastAsiaTheme="minorHAnsi" w:hAnsiTheme="minorHAnsi"/>
                <w:sz w:val="22"/>
                <w:szCs w:val="22"/>
              </w:rPr>
              <w:t xml:space="preserve">Acceptability of a Revised Plan. </w:t>
            </w:r>
          </w:p>
          <w:p w:rsidR="00235D3E" w:rsidRDefault="00235D3E"/>
        </w:tc>
        <w:tc>
          <w:tcPr>
            <w:tcW w:w="4508" w:type="dxa"/>
          </w:tcPr>
          <w:p w:rsidR="00D1200E" w:rsidRPr="00D1200E" w:rsidRDefault="00D1200E" w:rsidP="00F33E32">
            <w:pPr>
              <w:pStyle w:val="CommentText"/>
              <w:rPr>
                <w:rFonts w:asciiTheme="minorHAnsi" w:eastAsiaTheme="minorHAnsi" w:hAnsiTheme="minorHAnsi"/>
                <w:sz w:val="22"/>
                <w:szCs w:val="22"/>
              </w:rPr>
            </w:pPr>
            <w:r w:rsidRPr="00D1200E">
              <w:rPr>
                <w:rFonts w:asciiTheme="minorHAnsi" w:eastAsiaTheme="minorHAnsi" w:hAnsiTheme="minorHAnsi"/>
                <w:sz w:val="22"/>
                <w:szCs w:val="22"/>
                <w:lang w:eastAsia="en-US"/>
              </w:rPr>
              <w:t xml:space="preserve">We have covered a broader range of research topics in PR19. </w:t>
            </w:r>
          </w:p>
          <w:p w:rsidR="00D1200E" w:rsidRPr="00D1200E" w:rsidRDefault="00D1200E" w:rsidP="00D1200E">
            <w:pPr>
              <w:pStyle w:val="bullet"/>
              <w:numPr>
                <w:ilvl w:val="0"/>
                <w:numId w:val="0"/>
              </w:numPr>
              <w:ind w:left="360" w:hanging="360"/>
              <w:rPr>
                <w:rFonts w:asciiTheme="minorHAnsi" w:eastAsiaTheme="minorHAnsi" w:hAnsiTheme="minorHAnsi"/>
                <w:sz w:val="22"/>
                <w:szCs w:val="22"/>
              </w:rPr>
            </w:pPr>
            <w:r w:rsidRPr="00D1200E">
              <w:rPr>
                <w:rFonts w:asciiTheme="minorHAnsi" w:eastAsiaTheme="minorHAnsi" w:hAnsiTheme="minorHAnsi"/>
                <w:sz w:val="22"/>
                <w:szCs w:val="22"/>
              </w:rPr>
              <w:t xml:space="preserve">PR19 has covered: </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Resilience</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Willingness to Pay (WTP)</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Customer Priorities</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Performance measures</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Customer service expectations</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Deep Dive: worst served customers</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Environment</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Water resource management plan WTP</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Return of Value</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Vulnerable customers</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 xml:space="preserve">Bills </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Welsh Water 2050</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Performance Targets</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Revealed Preferences- Bathing waters</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lastRenderedPageBreak/>
              <w:t>ODI’s</w:t>
            </w:r>
          </w:p>
          <w:p w:rsidR="00D1200E" w:rsidRPr="00D1200E" w:rsidRDefault="00D1200E" w:rsidP="00D1200E">
            <w:pPr>
              <w:pStyle w:val="ListParagraph"/>
              <w:numPr>
                <w:ilvl w:val="0"/>
                <w:numId w:val="5"/>
              </w:numPr>
              <w:rPr>
                <w:rFonts w:asciiTheme="minorHAnsi" w:hAnsiTheme="minorHAnsi"/>
              </w:rPr>
            </w:pPr>
            <w:r w:rsidRPr="00D1200E">
              <w:rPr>
                <w:rFonts w:asciiTheme="minorHAnsi" w:hAnsiTheme="minorHAnsi"/>
              </w:rPr>
              <w:t xml:space="preserve">Social tariffs </w:t>
            </w:r>
          </w:p>
          <w:p w:rsidR="00235D3E" w:rsidRDefault="00D1200E" w:rsidP="00027838">
            <w:pPr>
              <w:pStyle w:val="ListParagraph"/>
              <w:numPr>
                <w:ilvl w:val="0"/>
                <w:numId w:val="5"/>
              </w:numPr>
              <w:rPr>
                <w:rFonts w:asciiTheme="minorHAnsi" w:hAnsiTheme="minorHAnsi"/>
              </w:rPr>
            </w:pPr>
            <w:r w:rsidRPr="00D1200E">
              <w:rPr>
                <w:rFonts w:asciiTheme="minorHAnsi" w:hAnsiTheme="minorHAnsi"/>
              </w:rPr>
              <w:t>Acceptability testing</w:t>
            </w:r>
          </w:p>
          <w:p w:rsidR="00027838" w:rsidRPr="00027838" w:rsidRDefault="00027838" w:rsidP="00027838">
            <w:pPr>
              <w:pStyle w:val="ListParagraph"/>
              <w:ind w:left="1712"/>
              <w:rPr>
                <w:rFonts w:asciiTheme="minorHAnsi" w:hAnsiTheme="minorHAnsi"/>
              </w:rPr>
            </w:pPr>
          </w:p>
        </w:tc>
      </w:tr>
      <w:tr w:rsidR="007A4BAF" w:rsidTr="00235D3E">
        <w:tc>
          <w:tcPr>
            <w:tcW w:w="4508" w:type="dxa"/>
          </w:tcPr>
          <w:p w:rsidR="007A4BAF" w:rsidRPr="00D1200E" w:rsidRDefault="007A4BAF" w:rsidP="007A4BAF">
            <w:pPr>
              <w:pStyle w:val="CommentText"/>
              <w:rPr>
                <w:rFonts w:asciiTheme="minorHAnsi" w:eastAsiaTheme="minorHAnsi" w:hAnsiTheme="minorHAnsi"/>
                <w:sz w:val="22"/>
                <w:szCs w:val="22"/>
                <w:lang w:eastAsia="en-US"/>
              </w:rPr>
            </w:pPr>
            <w:r>
              <w:rPr>
                <w:rFonts w:asciiTheme="minorHAnsi" w:eastAsiaTheme="minorHAnsi" w:hAnsiTheme="minorHAnsi"/>
                <w:sz w:val="22"/>
                <w:szCs w:val="22"/>
                <w:lang w:eastAsia="en-US"/>
              </w:rPr>
              <w:lastRenderedPageBreak/>
              <w:t>Not completed in PR14</w:t>
            </w:r>
          </w:p>
        </w:tc>
        <w:tc>
          <w:tcPr>
            <w:tcW w:w="4508" w:type="dxa"/>
          </w:tcPr>
          <w:p w:rsidR="007A4BAF" w:rsidRPr="00D1200E" w:rsidRDefault="007A4BAF" w:rsidP="00F33E32">
            <w:pPr>
              <w:pStyle w:val="CommentText"/>
              <w:rPr>
                <w:rFonts w:asciiTheme="minorHAnsi" w:eastAsiaTheme="minorHAnsi" w:hAnsiTheme="minorHAnsi"/>
                <w:sz w:val="22"/>
                <w:szCs w:val="22"/>
                <w:lang w:eastAsia="en-US"/>
              </w:rPr>
            </w:pPr>
            <w:r w:rsidRPr="00D1200E">
              <w:rPr>
                <w:rFonts w:asciiTheme="minorHAnsi" w:eastAsiaTheme="minorHAnsi" w:hAnsiTheme="minorHAnsi"/>
                <w:sz w:val="22"/>
                <w:szCs w:val="22"/>
              </w:rPr>
              <w:t>We also set up a</w:t>
            </w:r>
            <w:r>
              <w:rPr>
                <w:rFonts w:asciiTheme="minorHAnsi" w:eastAsiaTheme="minorHAnsi" w:hAnsiTheme="minorHAnsi"/>
                <w:sz w:val="22"/>
                <w:szCs w:val="22"/>
              </w:rPr>
              <w:t xml:space="preserve"> youth board to discuss some of </w:t>
            </w:r>
            <w:r w:rsidRPr="00D1200E">
              <w:rPr>
                <w:rFonts w:asciiTheme="minorHAnsi" w:eastAsiaTheme="minorHAnsi" w:hAnsiTheme="minorHAnsi"/>
                <w:sz w:val="22"/>
                <w:szCs w:val="22"/>
              </w:rPr>
              <w:t>these topics with future customers (future customers have also been included within research segmentation).</w:t>
            </w:r>
          </w:p>
        </w:tc>
      </w:tr>
    </w:tbl>
    <w:p w:rsidR="00235D3E" w:rsidRDefault="00235D3E"/>
    <w:p w:rsidR="007A4BAF" w:rsidRDefault="009924CA" w:rsidP="007A4BAF">
      <w:pPr>
        <w:pStyle w:val="ListParagraph"/>
        <w:numPr>
          <w:ilvl w:val="0"/>
          <w:numId w:val="7"/>
        </w:numPr>
        <w:rPr>
          <w:b/>
          <w:u w:val="single"/>
        </w:rPr>
      </w:pPr>
      <w:r>
        <w:rPr>
          <w:b/>
          <w:u w:val="single"/>
        </w:rPr>
        <w:t>Additional</w:t>
      </w:r>
      <w:r w:rsidRPr="009924CA">
        <w:rPr>
          <w:b/>
          <w:u w:val="single"/>
        </w:rPr>
        <w:t xml:space="preserve"> </w:t>
      </w:r>
      <w:r w:rsidR="00B35B37" w:rsidRPr="009924CA">
        <w:rPr>
          <w:b/>
          <w:u w:val="single"/>
        </w:rPr>
        <w:t xml:space="preserve">differences </w:t>
      </w:r>
    </w:p>
    <w:p w:rsidR="007A4BAF" w:rsidRPr="007A4BAF" w:rsidRDefault="007A4BAF" w:rsidP="007A4BAF">
      <w:pPr>
        <w:pStyle w:val="ListParagraph"/>
        <w:rPr>
          <w:b/>
          <w:u w:val="single"/>
        </w:rPr>
      </w:pPr>
    </w:p>
    <w:p w:rsidR="008F0144" w:rsidRDefault="00B35B37" w:rsidP="008F0144">
      <w:pPr>
        <w:pStyle w:val="ListParagraph"/>
        <w:numPr>
          <w:ilvl w:val="0"/>
          <w:numId w:val="6"/>
        </w:numPr>
      </w:pPr>
      <w:r>
        <w:t xml:space="preserve">WW2050- </w:t>
      </w:r>
      <w:r w:rsidR="008F0144">
        <w:t>Long term strategy consultation</w:t>
      </w:r>
    </w:p>
    <w:p w:rsidR="008F0144" w:rsidRDefault="008F0144" w:rsidP="00A84D73">
      <w:pPr>
        <w:ind w:left="720"/>
      </w:pPr>
      <w:r>
        <w:t xml:space="preserve">In PR19 we have used our longer term strategy Water2050 to influence what we are prioritising within PR19. This consultation </w:t>
      </w:r>
      <w:r w:rsidR="00174D0C">
        <w:t>consulted with uninformed customers, Interested/informed customers and experts/stakeholders. This consisted of over 19,000 fully completed responses including 3000 via Facebook Massager</w:t>
      </w:r>
      <w:r w:rsidR="00A84D73">
        <w:t xml:space="preserve"> Chatbot, 9 qualitative focus groups, 80 participants in online community group, 11 written submissions by stakeholders and over 100 attendees to stakeholder workshops. </w:t>
      </w:r>
    </w:p>
    <w:p w:rsidR="00B35B37" w:rsidRDefault="00B35B37" w:rsidP="00B35B37">
      <w:pPr>
        <w:pStyle w:val="ListParagraph"/>
        <w:numPr>
          <w:ilvl w:val="0"/>
          <w:numId w:val="6"/>
        </w:numPr>
      </w:pPr>
      <w:r>
        <w:t>T</w:t>
      </w:r>
      <w:r w:rsidR="000B1793">
        <w:t>riangulation</w:t>
      </w:r>
    </w:p>
    <w:p w:rsidR="00A84D73" w:rsidRDefault="009924CA" w:rsidP="00A84D73">
      <w:pPr>
        <w:pStyle w:val="ListParagraph"/>
      </w:pPr>
      <w:r>
        <w:t xml:space="preserve">In PR14 multiple sources of data were gathered and interoperated but we did not develop a strategy to be able to compare these sources and identify trends. </w:t>
      </w:r>
      <w:r w:rsidR="00010C63">
        <w:t>In PR19 however w</w:t>
      </w:r>
      <w:r w:rsidR="00A84D73">
        <w:t xml:space="preserve">e have used multiple sources to be able to understand customer priorities from company data as well as specifically commissioned research. </w:t>
      </w:r>
      <w:r w:rsidR="00A84D73" w:rsidRPr="00DF10CD">
        <w:t xml:space="preserve">In the absence of industry best practise or guidance </w:t>
      </w:r>
      <w:r w:rsidR="00A84D73">
        <w:t xml:space="preserve">(CCWater guidance was not published at the time point of development with PWC) </w:t>
      </w:r>
      <w:r w:rsidR="00A84D73" w:rsidRPr="00DF10CD">
        <w:t>we developed our triangulation methodology using a set of principles we felt best reflected the outcome desired-  a more transparent and rigorous basis for using diverse data/information sources to identify priority service improvements and support business planning. Triangulating between diverse/varied sources will require an element of judgement and so we decided a principles-based approach (rather than rules-based approach) was appropriate.</w:t>
      </w:r>
    </w:p>
    <w:p w:rsidR="00A84D73" w:rsidRDefault="00A84D73" w:rsidP="00A84D73">
      <w:pPr>
        <w:pStyle w:val="ListParagraph"/>
      </w:pPr>
    </w:p>
    <w:p w:rsidR="00B35B37" w:rsidRDefault="00B35B37" w:rsidP="00B35B37">
      <w:pPr>
        <w:pStyle w:val="ListParagraph"/>
        <w:numPr>
          <w:ilvl w:val="0"/>
          <w:numId w:val="6"/>
        </w:numPr>
      </w:pPr>
      <w:r>
        <w:t>Customer co-creat</w:t>
      </w:r>
      <w:r w:rsidR="000B1793">
        <w:t>ion</w:t>
      </w:r>
    </w:p>
    <w:p w:rsidR="000B1793" w:rsidRDefault="000B1793" w:rsidP="000B1793">
      <w:pPr>
        <w:pStyle w:val="ListParagraph"/>
      </w:pPr>
      <w:r>
        <w:t>Customer participation overall has increased since PR14. This takes on board recommendations from Ofwat’s Tapped In report. This includes ways in which we can co-create solutions with customers to ensure we bring wider societal benefits as well as business benefits. This can be seen in two examples:</w:t>
      </w:r>
    </w:p>
    <w:p w:rsidR="000B1793" w:rsidRDefault="000B1793" w:rsidP="000B1793">
      <w:pPr>
        <w:pStyle w:val="ListParagraph"/>
        <w:numPr>
          <w:ilvl w:val="1"/>
          <w:numId w:val="6"/>
        </w:numPr>
      </w:pPr>
      <w:r w:rsidRPr="00686200">
        <w:t>The Rhondda Fach Water Resilient Community pilot project</w:t>
      </w:r>
      <w:r>
        <w:t>: This</w:t>
      </w:r>
      <w:r w:rsidRPr="00686200">
        <w:t xml:space="preserve"> is an ambitious project that challenges our normal way of working to maximise the impact we have on one of the most disadvantaged communities we serve. The project is being delivered alongside the £23m zonal investment that is taking place between Maerdy and Pontypridd. The project </w:t>
      </w:r>
      <w:r>
        <w:t>is looking</w:t>
      </w:r>
      <w:r w:rsidRPr="00686200">
        <w:t xml:space="preserve"> at direct involvement and collaboration with the community for long-term benefit. </w:t>
      </w:r>
    </w:p>
    <w:p w:rsidR="000B1793" w:rsidRDefault="000B1793" w:rsidP="000B1793">
      <w:pPr>
        <w:pStyle w:val="ListParagraph"/>
        <w:numPr>
          <w:ilvl w:val="1"/>
          <w:numId w:val="6"/>
        </w:numPr>
      </w:pPr>
      <w:r>
        <w:t xml:space="preserve">WaterSource: This initiative is a new way of looking after the land around our rivers, reservoirs and seas to protect our drinking water for years to come. The scheme, involves a number of partnerships all aimed at improving the quality of our water at its source. These partnerships include the Brecon Beacons mega catchment, Pendine catchment project and weed wiper partnership. </w:t>
      </w:r>
    </w:p>
    <w:p w:rsidR="000B1793" w:rsidRDefault="000B1793" w:rsidP="000B1793">
      <w:pPr>
        <w:pStyle w:val="ListParagraph"/>
      </w:pPr>
    </w:p>
    <w:p w:rsidR="00B35B37" w:rsidRDefault="00B35B37" w:rsidP="00B35B37">
      <w:pPr>
        <w:pStyle w:val="ListParagraph"/>
        <w:numPr>
          <w:ilvl w:val="0"/>
          <w:numId w:val="6"/>
        </w:numPr>
      </w:pPr>
      <w:r>
        <w:t>Innova</w:t>
      </w:r>
      <w:r w:rsidR="009924CA">
        <w:t>tion</w:t>
      </w:r>
    </w:p>
    <w:p w:rsidR="000B1793" w:rsidRDefault="005E62C8" w:rsidP="000B1793">
      <w:pPr>
        <w:pStyle w:val="ListParagraph"/>
      </w:pPr>
      <w:r>
        <w:lastRenderedPageBreak/>
        <w:t xml:space="preserve">We have also tried to include new and innovative ways of engaging with customer in PR19 to ensure we’re reaching a broad and representative group of customers. This has included the introduction of the ‘Have your say’ Online community, a Youth Board made up of 15 six form students, Facebook Messenger Chatbot which was used as w way of completing our Water2050 consolation and Community Hubs where we took our research to customers in areas where we see lower engagement. </w:t>
      </w:r>
    </w:p>
    <w:p w:rsidR="000B1793" w:rsidRDefault="000B1793" w:rsidP="000B1793">
      <w:pPr>
        <w:pStyle w:val="ListParagraph"/>
      </w:pPr>
    </w:p>
    <w:p w:rsidR="00B35B37" w:rsidRDefault="008F0144" w:rsidP="00B35B37">
      <w:pPr>
        <w:pStyle w:val="ListParagraph"/>
        <w:numPr>
          <w:ilvl w:val="0"/>
          <w:numId w:val="6"/>
        </w:numPr>
      </w:pPr>
      <w:r>
        <w:t>WTP methodology</w:t>
      </w:r>
    </w:p>
    <w:p w:rsidR="009924CA" w:rsidRPr="009924CA" w:rsidRDefault="009924CA" w:rsidP="009924CA">
      <w:pPr>
        <w:pStyle w:val="ListParagraph"/>
        <w:rPr>
          <w:lang w:val="en-US"/>
        </w:rPr>
      </w:pPr>
      <w:r w:rsidRPr="00486242">
        <w:t>Ofwat’s Water 2020 consultation</w:t>
      </w:r>
      <w:r w:rsidRPr="00486242">
        <w:rPr>
          <w:vertAlign w:val="superscript"/>
        </w:rPr>
        <w:footnoteReference w:id="1"/>
      </w:r>
      <w:r w:rsidRPr="00486242">
        <w:t xml:space="preserve"> proposed that companies consider how SP WTP evidence could be improved and explore what alternative and complementary tools are available to understand their customers’ needs and requirements. </w:t>
      </w:r>
      <w:r w:rsidRPr="009924CA">
        <w:rPr>
          <w:lang w:val="en-US"/>
        </w:rPr>
        <w:t xml:space="preserve">Overall, it was evident at the outset of the </w:t>
      </w:r>
      <w:r>
        <w:rPr>
          <w:lang w:val="en-US"/>
        </w:rPr>
        <w:t xml:space="preserve">PR19 </w:t>
      </w:r>
      <w:r w:rsidRPr="009924CA">
        <w:rPr>
          <w:lang w:val="en-US"/>
        </w:rPr>
        <w:t>study that the approach to WTP evidence collection for PR19 would need to evolve from, rather than merely replicate, the PR14 approach.</w:t>
      </w:r>
    </w:p>
    <w:p w:rsidR="009924CA" w:rsidRDefault="009924CA" w:rsidP="009924CA">
      <w:pPr>
        <w:pStyle w:val="ListParagraph"/>
      </w:pPr>
      <w:r>
        <w:t xml:space="preserve">In developing the design for the present study, we proposed an approach that sought, as far as possible, to remove the need for participants to trade off small risk reductions, which we believed to be the key source of complexity in the PR14 approach. This was achieved by imposing a degree of rationality on the structure of customers’ preferences with respect to risk. By so doing, the choices customers were asked to make were much more straightforward and consequently more likely to accurately capture their true preferences in a form that can validly be used for DCWW’s investment appraisals. </w:t>
      </w:r>
    </w:p>
    <w:p w:rsidR="009924CA" w:rsidRDefault="009924CA" w:rsidP="009924CA">
      <w:pPr>
        <w:pStyle w:val="ListParagraph"/>
      </w:pPr>
    </w:p>
    <w:p w:rsidR="009924CA" w:rsidRDefault="009924CA" w:rsidP="009924CA">
      <w:pPr>
        <w:pStyle w:val="ListParagraph"/>
      </w:pPr>
    </w:p>
    <w:p w:rsidR="00B35B37" w:rsidRDefault="00B35B37"/>
    <w:sectPr w:rsidR="00B35B3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5B8" w:rsidRDefault="009965B8" w:rsidP="000B1793">
      <w:pPr>
        <w:spacing w:after="0" w:line="240" w:lineRule="auto"/>
      </w:pPr>
      <w:r>
        <w:separator/>
      </w:r>
    </w:p>
  </w:endnote>
  <w:endnote w:type="continuationSeparator" w:id="0">
    <w:p w:rsidR="009965B8" w:rsidRDefault="009965B8" w:rsidP="000B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346304"/>
      <w:docPartObj>
        <w:docPartGallery w:val="Page Numbers (Bottom of Page)"/>
        <w:docPartUnique/>
      </w:docPartObj>
    </w:sdtPr>
    <w:sdtEndPr>
      <w:rPr>
        <w:noProof/>
      </w:rPr>
    </w:sdtEndPr>
    <w:sdtContent>
      <w:p w:rsidR="00F0023B" w:rsidRDefault="00F0023B">
        <w:pPr>
          <w:pStyle w:val="Footer"/>
          <w:jc w:val="right"/>
        </w:pPr>
        <w:r>
          <w:fldChar w:fldCharType="begin"/>
        </w:r>
        <w:r>
          <w:instrText xml:space="preserve"> PAGE   \* MERGEFORMAT </w:instrText>
        </w:r>
        <w:r>
          <w:fldChar w:fldCharType="separate"/>
        </w:r>
        <w:r w:rsidR="00C632C0">
          <w:rPr>
            <w:noProof/>
          </w:rPr>
          <w:t>4</w:t>
        </w:r>
        <w:r>
          <w:rPr>
            <w:noProof/>
          </w:rPr>
          <w:fldChar w:fldCharType="end"/>
        </w:r>
      </w:p>
    </w:sdtContent>
  </w:sdt>
  <w:p w:rsidR="00F0023B" w:rsidRDefault="00F00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5B8" w:rsidRDefault="009965B8" w:rsidP="000B1793">
      <w:pPr>
        <w:spacing w:after="0" w:line="240" w:lineRule="auto"/>
      </w:pPr>
      <w:r>
        <w:separator/>
      </w:r>
    </w:p>
  </w:footnote>
  <w:footnote w:type="continuationSeparator" w:id="0">
    <w:p w:rsidR="009965B8" w:rsidRDefault="009965B8" w:rsidP="000B1793">
      <w:pPr>
        <w:spacing w:after="0" w:line="240" w:lineRule="auto"/>
      </w:pPr>
      <w:r>
        <w:continuationSeparator/>
      </w:r>
    </w:p>
  </w:footnote>
  <w:footnote w:id="1">
    <w:p w:rsidR="009924CA" w:rsidRPr="00793377" w:rsidRDefault="009924CA" w:rsidP="009924CA">
      <w:pPr>
        <w:pStyle w:val="FootnoteText"/>
        <w:rPr>
          <w:rFonts w:asciiTheme="minorHAnsi" w:hAnsiTheme="minorHAnsi" w:cs="Arial"/>
          <w:sz w:val="18"/>
          <w:szCs w:val="18"/>
        </w:rPr>
      </w:pPr>
      <w:r w:rsidRPr="00793377">
        <w:rPr>
          <w:rStyle w:val="FootnoteReference"/>
          <w:rFonts w:asciiTheme="minorHAnsi" w:hAnsiTheme="minorHAnsi" w:cs="Arial"/>
          <w:sz w:val="18"/>
          <w:szCs w:val="18"/>
        </w:rPr>
        <w:footnoteRef/>
      </w:r>
      <w:r w:rsidRPr="00793377">
        <w:rPr>
          <w:rFonts w:asciiTheme="minorHAnsi" w:hAnsiTheme="minorHAnsi" w:cs="Arial"/>
          <w:sz w:val="18"/>
          <w:szCs w:val="18"/>
        </w:rPr>
        <w:t xml:space="preserve"> </w:t>
      </w:r>
      <w:bookmarkStart w:id="2" w:name="_Hlk499768874"/>
      <w:r w:rsidRPr="00793377">
        <w:rPr>
          <w:rFonts w:asciiTheme="minorHAnsi" w:hAnsiTheme="minorHAnsi" w:cs="Arial"/>
          <w:sz w:val="18"/>
          <w:szCs w:val="18"/>
        </w:rPr>
        <w:t>Ofwat (2015) “Water 2020: Regulatory framework for wholesale markets and the 2019 price review”, December 2015</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23B" w:rsidRPr="00F0023B" w:rsidRDefault="00F0023B" w:rsidP="00F0023B">
    <w:r w:rsidRPr="00F0023B">
      <w:t>PR14 and PR19 customer engagement comparison</w:t>
    </w:r>
    <w:r>
      <w:t xml:space="preserve">- Prepared by DCWW </w:t>
    </w:r>
    <w:r>
      <w:tab/>
    </w:r>
    <w:r>
      <w:tab/>
    </w:r>
    <w:r>
      <w:tab/>
      <w:t>30/07/2018</w:t>
    </w:r>
  </w:p>
  <w:p w:rsidR="00F0023B" w:rsidRDefault="00F00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7D820A0"/>
    <w:lvl w:ilvl="0">
      <w:start w:val="1"/>
      <w:numFmt w:val="bullet"/>
      <w:pStyle w:val="bullet2"/>
      <w:lvlText w:val=""/>
      <w:lvlJc w:val="left"/>
      <w:pPr>
        <w:tabs>
          <w:tab w:val="num" w:pos="643"/>
        </w:tabs>
        <w:ind w:left="643" w:hanging="360"/>
      </w:pPr>
      <w:rPr>
        <w:rFonts w:ascii="Symbol" w:hAnsi="Symbol" w:hint="default"/>
      </w:rPr>
    </w:lvl>
  </w:abstractNum>
  <w:abstractNum w:abstractNumId="1" w15:restartNumberingAfterBreak="0">
    <w:nsid w:val="13857F9F"/>
    <w:multiLevelType w:val="hybridMultilevel"/>
    <w:tmpl w:val="AD9E38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2" w15:restartNumberingAfterBreak="0">
    <w:nsid w:val="151D4085"/>
    <w:multiLevelType w:val="multilevel"/>
    <w:tmpl w:val="E69C8E22"/>
    <w:lvl w:ilvl="0">
      <w:start w:val="1"/>
      <w:numFmt w:val="bullet"/>
      <w:pStyle w:val="bullet"/>
      <w:lvlText w:val=""/>
      <w:lvlJc w:val="left"/>
      <w:pPr>
        <w:tabs>
          <w:tab w:val="num" w:pos="360"/>
        </w:tabs>
        <w:ind w:left="360" w:hanging="360"/>
      </w:pPr>
      <w:rPr>
        <w:rFonts w:ascii="Symbol" w:hAnsi="Symbol" w:hint="default"/>
        <w:color w:val="auto"/>
      </w:rPr>
    </w:lvl>
    <w:lvl w:ilvl="1">
      <w:start w:val="1"/>
      <w:numFmt w:val="bullet"/>
      <w:pStyle w:val="dash"/>
      <w:lvlText w:val=""/>
      <w:lvlJc w:val="left"/>
      <w:pPr>
        <w:tabs>
          <w:tab w:val="num" w:pos="720"/>
        </w:tabs>
        <w:ind w:left="720" w:hanging="360"/>
      </w:pPr>
      <w:rPr>
        <w:rFonts w:ascii="Symbol" w:hAnsi="Symbol" w:hint="default"/>
        <w:sz w:val="16"/>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336002F"/>
    <w:multiLevelType w:val="hybridMultilevel"/>
    <w:tmpl w:val="C5AE3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21A95"/>
    <w:multiLevelType w:val="hybridMultilevel"/>
    <w:tmpl w:val="B78E43C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5" w15:restartNumberingAfterBreak="0">
    <w:nsid w:val="4040177C"/>
    <w:multiLevelType w:val="hybridMultilevel"/>
    <w:tmpl w:val="25B4F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416B2"/>
    <w:multiLevelType w:val="hybridMultilevel"/>
    <w:tmpl w:val="FDDA3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F2284"/>
    <w:multiLevelType w:val="hybridMultilevel"/>
    <w:tmpl w:val="F170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D15288"/>
    <w:multiLevelType w:val="hybridMultilevel"/>
    <w:tmpl w:val="C1E62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4"/>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3E"/>
    <w:rsid w:val="00010C63"/>
    <w:rsid w:val="00027838"/>
    <w:rsid w:val="000B1793"/>
    <w:rsid w:val="00174D0C"/>
    <w:rsid w:val="00211462"/>
    <w:rsid w:val="00235D3E"/>
    <w:rsid w:val="00310D9D"/>
    <w:rsid w:val="00351D4C"/>
    <w:rsid w:val="003C7770"/>
    <w:rsid w:val="004505FF"/>
    <w:rsid w:val="004F6FDF"/>
    <w:rsid w:val="005E62C8"/>
    <w:rsid w:val="006F2174"/>
    <w:rsid w:val="007A4BAF"/>
    <w:rsid w:val="0086228C"/>
    <w:rsid w:val="008F0144"/>
    <w:rsid w:val="008F6867"/>
    <w:rsid w:val="009924CA"/>
    <w:rsid w:val="009965B8"/>
    <w:rsid w:val="009A516E"/>
    <w:rsid w:val="00A56F72"/>
    <w:rsid w:val="00A84D73"/>
    <w:rsid w:val="00AB1258"/>
    <w:rsid w:val="00B35B37"/>
    <w:rsid w:val="00C632C0"/>
    <w:rsid w:val="00D1200E"/>
    <w:rsid w:val="00F0023B"/>
    <w:rsid w:val="00F33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F4132-1B76-4E2C-AB82-82905010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516E"/>
    <w:rPr>
      <w:sz w:val="16"/>
      <w:szCs w:val="16"/>
    </w:rPr>
  </w:style>
  <w:style w:type="paragraph" w:styleId="CommentText">
    <w:name w:val="annotation text"/>
    <w:basedOn w:val="Normal"/>
    <w:link w:val="CommentTextChar"/>
    <w:uiPriority w:val="99"/>
    <w:unhideWhenUsed/>
    <w:rsid w:val="009A516E"/>
    <w:pPr>
      <w:spacing w:after="200" w:line="240" w:lineRule="auto"/>
    </w:pPr>
    <w:rPr>
      <w:rFonts w:ascii="Calibri" w:eastAsia="MS Mincho" w:hAnsi="Calibri" w:cs="Times New Roman"/>
      <w:sz w:val="20"/>
      <w:szCs w:val="20"/>
      <w:lang w:eastAsia="en-GB"/>
    </w:rPr>
  </w:style>
  <w:style w:type="character" w:customStyle="1" w:styleId="CommentTextChar">
    <w:name w:val="Comment Text Char"/>
    <w:basedOn w:val="DefaultParagraphFont"/>
    <w:link w:val="CommentText"/>
    <w:uiPriority w:val="99"/>
    <w:rsid w:val="009A516E"/>
    <w:rPr>
      <w:rFonts w:ascii="Calibri" w:eastAsia="MS Mincho" w:hAnsi="Calibri" w:cs="Times New Roman"/>
      <w:sz w:val="20"/>
      <w:szCs w:val="20"/>
      <w:lang w:eastAsia="en-GB"/>
    </w:rPr>
  </w:style>
  <w:style w:type="paragraph" w:styleId="BalloonText">
    <w:name w:val="Balloon Text"/>
    <w:basedOn w:val="Normal"/>
    <w:link w:val="BalloonTextChar"/>
    <w:uiPriority w:val="99"/>
    <w:semiHidden/>
    <w:unhideWhenUsed/>
    <w:rsid w:val="009A5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16E"/>
    <w:rPr>
      <w:rFonts w:ascii="Segoe UI" w:hAnsi="Segoe UI" w:cs="Segoe UI"/>
      <w:sz w:val="18"/>
      <w:szCs w:val="18"/>
    </w:rPr>
  </w:style>
  <w:style w:type="paragraph" w:styleId="ListParagraph">
    <w:name w:val="List Paragraph"/>
    <w:basedOn w:val="Normal"/>
    <w:link w:val="ListParagraphChar"/>
    <w:uiPriority w:val="34"/>
    <w:qFormat/>
    <w:rsid w:val="006F2174"/>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6F2174"/>
    <w:rPr>
      <w:rFonts w:ascii="Calibri" w:hAnsi="Calibri" w:cs="Times New Roman"/>
    </w:rPr>
  </w:style>
  <w:style w:type="paragraph" w:customStyle="1" w:styleId="bullet">
    <w:name w:val="bullet"/>
    <w:basedOn w:val="Normal"/>
    <w:link w:val="bulletChar"/>
    <w:uiPriority w:val="99"/>
    <w:rsid w:val="00D1200E"/>
    <w:pPr>
      <w:numPr>
        <w:numId w:val="4"/>
      </w:numPr>
      <w:tabs>
        <w:tab w:val="left" w:pos="720"/>
      </w:tabs>
      <w:spacing w:after="0" w:line="240" w:lineRule="auto"/>
      <w:jc w:val="both"/>
    </w:pPr>
    <w:rPr>
      <w:rFonts w:ascii="Times" w:eastAsia="Times New Roman" w:hAnsi="Times" w:cs="Times New Roman"/>
      <w:sz w:val="24"/>
      <w:szCs w:val="20"/>
    </w:rPr>
  </w:style>
  <w:style w:type="paragraph" w:customStyle="1" w:styleId="dash">
    <w:name w:val="dash"/>
    <w:basedOn w:val="Normal"/>
    <w:uiPriority w:val="99"/>
    <w:rsid w:val="00D1200E"/>
    <w:pPr>
      <w:numPr>
        <w:ilvl w:val="1"/>
        <w:numId w:val="4"/>
      </w:numPr>
      <w:spacing w:after="0" w:line="240" w:lineRule="auto"/>
      <w:jc w:val="both"/>
    </w:pPr>
    <w:rPr>
      <w:rFonts w:ascii="Times New Roman" w:eastAsia="Times New Roman" w:hAnsi="Times New Roman" w:cs="Times New Roman"/>
      <w:sz w:val="24"/>
      <w:szCs w:val="20"/>
    </w:rPr>
  </w:style>
  <w:style w:type="character" w:customStyle="1" w:styleId="bulletChar">
    <w:name w:val="bullet Char"/>
    <w:link w:val="bullet"/>
    <w:uiPriority w:val="99"/>
    <w:locked/>
    <w:rsid w:val="00D1200E"/>
    <w:rPr>
      <w:rFonts w:ascii="Times" w:eastAsia="Times New Roman" w:hAnsi="Times" w:cs="Times New Roman"/>
      <w:sz w:val="24"/>
      <w:szCs w:val="20"/>
    </w:rPr>
  </w:style>
  <w:style w:type="character" w:styleId="FootnoteReference">
    <w:name w:val="footnote reference"/>
    <w:rsid w:val="000B1793"/>
    <w:rPr>
      <w:position w:val="6"/>
      <w:sz w:val="16"/>
    </w:rPr>
  </w:style>
  <w:style w:type="paragraph" w:styleId="FootnoteText">
    <w:name w:val="footnote text"/>
    <w:basedOn w:val="Normal"/>
    <w:link w:val="FootnoteTextChar"/>
    <w:rsid w:val="000B1793"/>
    <w:pPr>
      <w:spacing w:after="0" w:line="240" w:lineRule="auto"/>
      <w:jc w:val="both"/>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0B1793"/>
    <w:rPr>
      <w:rFonts w:ascii="Calibri" w:eastAsia="Times New Roman" w:hAnsi="Calibri" w:cs="Times New Roman"/>
      <w:sz w:val="20"/>
      <w:szCs w:val="20"/>
    </w:rPr>
  </w:style>
  <w:style w:type="character" w:styleId="Hyperlink">
    <w:name w:val="Hyperlink"/>
    <w:basedOn w:val="DefaultParagraphFont"/>
    <w:uiPriority w:val="99"/>
    <w:unhideWhenUsed/>
    <w:rsid w:val="000B1793"/>
    <w:rPr>
      <w:color w:val="0563C1" w:themeColor="hyperlink"/>
      <w:u w:val="single"/>
    </w:rPr>
  </w:style>
  <w:style w:type="paragraph" w:styleId="Header">
    <w:name w:val="header"/>
    <w:basedOn w:val="Normal"/>
    <w:link w:val="HeaderChar"/>
    <w:uiPriority w:val="99"/>
    <w:unhideWhenUsed/>
    <w:rsid w:val="00F00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23B"/>
  </w:style>
  <w:style w:type="paragraph" w:styleId="Footer">
    <w:name w:val="footer"/>
    <w:basedOn w:val="Normal"/>
    <w:link w:val="FooterChar"/>
    <w:uiPriority w:val="99"/>
    <w:unhideWhenUsed/>
    <w:rsid w:val="00F00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23B"/>
  </w:style>
  <w:style w:type="paragraph" w:customStyle="1" w:styleId="bullet2">
    <w:name w:val="bullet2"/>
    <w:basedOn w:val="bullet"/>
    <w:link w:val="bullet2Char"/>
    <w:uiPriority w:val="99"/>
    <w:rsid w:val="004F6FDF"/>
    <w:pPr>
      <w:numPr>
        <w:numId w:val="8"/>
      </w:numPr>
      <w:tabs>
        <w:tab w:val="clear" w:pos="643"/>
        <w:tab w:val="clear" w:pos="720"/>
        <w:tab w:val="num" w:pos="360"/>
      </w:tabs>
      <w:spacing w:after="240"/>
      <w:ind w:left="360"/>
    </w:pPr>
  </w:style>
  <w:style w:type="character" w:customStyle="1" w:styleId="bullet2Char">
    <w:name w:val="bullet2 Char"/>
    <w:link w:val="bullet2"/>
    <w:uiPriority w:val="99"/>
    <w:locked/>
    <w:rsid w:val="004F6FDF"/>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EC83A3F498543929A83DCF95C0A5E" ma:contentTypeVersion="18" ma:contentTypeDescription="Create a new document." ma:contentTypeScope="" ma:versionID="c84cf371f8f34dc775056ead5ae898de">
  <xsd:schema xmlns:xsd="http://www.w3.org/2001/XMLSchema" xmlns:xs="http://www.w3.org/2001/XMLSchema" xmlns:p="http://schemas.microsoft.com/office/2006/metadata/properties" xmlns:ns2="3fb549b9-3563-4fd0-8b39-38cd8a9a19eb" xmlns:ns3="bf0dc320-b31f-45b4-ac43-8218b7f56e23" targetNamespace="http://schemas.microsoft.com/office/2006/metadata/properties" ma:root="true" ma:fieldsID="e7d4826e89489af58cf2cf0ffe698529" ns2:_="" ns3:_="">
    <xsd:import namespace="3fb549b9-3563-4fd0-8b39-38cd8a9a19eb"/>
    <xsd:import namespace="bf0dc320-b31f-45b4-ac43-8218b7f56e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49b9-3563-4fd0-8b39-38cd8a9a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2ebcc9-8c7e-4175-8504-bd1ab9d01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dc320-b31f-45b4-ac43-8218b7f56e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0cbe70-c8e5-40fa-a164-fb7af3c2f0fa}" ma:internalName="TaxCatchAll" ma:showField="CatchAllData" ma:web="bf0dc320-b31f-45b4-ac43-8218b7f56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0dc320-b31f-45b4-ac43-8218b7f56e23" xsi:nil="true"/>
    <lcf76f155ced4ddcb4097134ff3c332f xmlns="3fb549b9-3563-4fd0-8b39-38cd8a9a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624CBA-5A3B-460D-ABC6-9D977BC6FF6A}"/>
</file>

<file path=customXml/itemProps2.xml><?xml version="1.0" encoding="utf-8"?>
<ds:datastoreItem xmlns:ds="http://schemas.openxmlformats.org/officeDocument/2006/customXml" ds:itemID="{3EE3C743-0F66-4084-A4D2-CC15CADDA5F5}"/>
</file>

<file path=customXml/itemProps3.xml><?xml version="1.0" encoding="utf-8"?>
<ds:datastoreItem xmlns:ds="http://schemas.openxmlformats.org/officeDocument/2006/customXml" ds:itemID="{E4AD7AF0-826A-439B-8212-F38D92F6A770}"/>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Welsh Water</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Riddick Anna</dc:creator>
  <cp:keywords/>
  <dc:description/>
  <cp:lastModifiedBy>Mari</cp:lastModifiedBy>
  <cp:revision>3</cp:revision>
  <dcterms:created xsi:type="dcterms:W3CDTF">2018-08-29T16:25:00Z</dcterms:created>
  <dcterms:modified xsi:type="dcterms:W3CDTF">2018-08-30T16:06:00Z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0x0101002B9EC83A3F498543929A83DCF95C0A5E</vt:lpwstr>
  </property>
</Properties>
</file>